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8C8E" w14:textId="060032AA" w:rsidR="00D076F3" w:rsidRPr="00B86D0C" w:rsidRDefault="001A2A76" w:rsidP="00B86D0C">
      <w:pPr>
        <w:pBdr>
          <w:top w:val="nil"/>
          <w:left w:val="nil"/>
          <w:bottom w:val="nil"/>
          <w:right w:val="nil"/>
          <w:between w:val="nil"/>
        </w:pBdr>
        <w:spacing w:before="120" w:line="288" w:lineRule="auto"/>
        <w:jc w:val="center"/>
        <w:rPr>
          <w:rFonts w:ascii="Arial" w:eastAsia="Arial" w:hAnsi="Arial" w:cs="Arial"/>
          <w:b/>
          <w:color w:val="000000"/>
          <w:sz w:val="20"/>
          <w:szCs w:val="20"/>
          <w:u w:val="single"/>
        </w:rPr>
      </w:pPr>
      <w:r w:rsidRPr="00B86D0C">
        <w:rPr>
          <w:rFonts w:ascii="Arial" w:eastAsia="Arial" w:hAnsi="Arial" w:cs="Arial"/>
          <w:b/>
          <w:color w:val="000000"/>
          <w:sz w:val="20"/>
          <w:szCs w:val="20"/>
          <w:u w:val="single"/>
        </w:rPr>
        <w:t xml:space="preserve">Estudio de Proyección de Empleo de ManpowerGroup para </w:t>
      </w:r>
      <w:r w:rsidR="0031176F" w:rsidRPr="00B86D0C">
        <w:rPr>
          <w:rFonts w:ascii="Arial" w:eastAsia="Arial" w:hAnsi="Arial" w:cs="Arial"/>
          <w:b/>
          <w:color w:val="000000"/>
          <w:sz w:val="20"/>
          <w:szCs w:val="20"/>
          <w:u w:val="single"/>
        </w:rPr>
        <w:t>julio</w:t>
      </w:r>
      <w:r w:rsidR="009164C2" w:rsidRPr="00B86D0C">
        <w:rPr>
          <w:rFonts w:ascii="Arial" w:eastAsia="Arial" w:hAnsi="Arial" w:cs="Arial"/>
          <w:b/>
          <w:color w:val="000000"/>
          <w:sz w:val="20"/>
          <w:szCs w:val="20"/>
          <w:u w:val="single"/>
        </w:rPr>
        <w:t>-</w:t>
      </w:r>
      <w:r w:rsidR="0031176F" w:rsidRPr="00B86D0C">
        <w:rPr>
          <w:rFonts w:ascii="Arial" w:eastAsia="Arial" w:hAnsi="Arial" w:cs="Arial"/>
          <w:b/>
          <w:color w:val="000000"/>
          <w:sz w:val="20"/>
          <w:szCs w:val="20"/>
          <w:u w:val="single"/>
        </w:rPr>
        <w:t>septiembre</w:t>
      </w:r>
      <w:r w:rsidR="009164C2" w:rsidRPr="00B86D0C">
        <w:rPr>
          <w:rFonts w:ascii="Arial" w:eastAsia="Arial" w:hAnsi="Arial" w:cs="Arial"/>
          <w:b/>
          <w:color w:val="000000"/>
          <w:sz w:val="20"/>
          <w:szCs w:val="20"/>
          <w:u w:val="single"/>
        </w:rPr>
        <w:t xml:space="preserve"> </w:t>
      </w:r>
      <w:r w:rsidRPr="00B86D0C">
        <w:rPr>
          <w:rFonts w:ascii="Arial" w:eastAsia="Arial" w:hAnsi="Arial" w:cs="Arial"/>
          <w:b/>
          <w:color w:val="000000"/>
          <w:sz w:val="20"/>
          <w:szCs w:val="20"/>
          <w:u w:val="single"/>
        </w:rPr>
        <w:t>202</w:t>
      </w:r>
      <w:r w:rsidR="009C6E19" w:rsidRPr="00B86D0C">
        <w:rPr>
          <w:rFonts w:ascii="Arial" w:eastAsia="Arial" w:hAnsi="Arial" w:cs="Arial"/>
          <w:b/>
          <w:color w:val="000000"/>
          <w:sz w:val="20"/>
          <w:szCs w:val="20"/>
          <w:u w:val="single"/>
        </w:rPr>
        <w:t>6</w:t>
      </w:r>
    </w:p>
    <w:p w14:paraId="498CA09A" w14:textId="6412B6EB" w:rsidR="00995CAC" w:rsidRPr="00B86D0C" w:rsidRDefault="005A55B7" w:rsidP="005A55B7">
      <w:pPr>
        <w:spacing w:before="120" w:line="288" w:lineRule="auto"/>
        <w:jc w:val="center"/>
        <w:rPr>
          <w:rFonts w:ascii="Arial" w:eastAsia="Arial" w:hAnsi="Arial" w:cs="Arial"/>
          <w:b/>
          <w:bCs/>
          <w:sz w:val="36"/>
          <w:szCs w:val="36"/>
        </w:rPr>
      </w:pPr>
      <w:bookmarkStart w:id="0" w:name="_Hlk113557077"/>
      <w:bookmarkStart w:id="1" w:name="_Hlk90223537"/>
      <w:bookmarkStart w:id="2" w:name="_Hlk89449303"/>
      <w:bookmarkStart w:id="3" w:name="_Hlk89449332"/>
      <w:bookmarkStart w:id="4" w:name="_Hlk215568333"/>
      <w:r w:rsidRPr="005A55B7">
        <w:rPr>
          <w:rFonts w:ascii="Arial" w:eastAsia="Arial" w:hAnsi="Arial" w:cs="Arial"/>
          <w:b/>
          <w:bCs/>
          <w:sz w:val="36"/>
          <w:szCs w:val="36"/>
        </w:rPr>
        <w:t xml:space="preserve">Telecomunicaciones, medios y entretenimiento lidera </w:t>
      </w:r>
      <w:r>
        <w:rPr>
          <w:rFonts w:ascii="Arial" w:eastAsia="Arial" w:hAnsi="Arial" w:cs="Arial"/>
          <w:b/>
          <w:bCs/>
          <w:sz w:val="36"/>
          <w:szCs w:val="36"/>
        </w:rPr>
        <w:t>en previsiones de generación de empleo para el tercer trimestre</w:t>
      </w:r>
    </w:p>
    <w:p w14:paraId="3E9DCDB2" w14:textId="77777777" w:rsidR="00995CAC" w:rsidRPr="00B86D0C" w:rsidRDefault="00995CAC" w:rsidP="00B310D1">
      <w:pPr>
        <w:spacing w:before="120" w:line="288" w:lineRule="auto"/>
        <w:jc w:val="both"/>
        <w:rPr>
          <w:rFonts w:ascii="Arial" w:eastAsia="Arial" w:hAnsi="Arial" w:cs="Arial"/>
          <w:b/>
          <w:sz w:val="23"/>
          <w:szCs w:val="23"/>
        </w:rPr>
      </w:pPr>
    </w:p>
    <w:p w14:paraId="4EB92089" w14:textId="4C300272" w:rsidR="0031176F" w:rsidRPr="005A55B7" w:rsidRDefault="00995CAC" w:rsidP="005A55B7">
      <w:pPr>
        <w:pStyle w:val="Prrafodelista"/>
        <w:numPr>
          <w:ilvl w:val="0"/>
          <w:numId w:val="9"/>
        </w:numPr>
        <w:spacing w:before="120" w:line="288" w:lineRule="auto"/>
        <w:jc w:val="both"/>
        <w:rPr>
          <w:rFonts w:ascii="Arial" w:eastAsia="Arial" w:hAnsi="Arial" w:cs="Arial"/>
          <w:b/>
        </w:rPr>
      </w:pPr>
      <w:r w:rsidRPr="00B310D1">
        <w:rPr>
          <w:rFonts w:ascii="Arial" w:eastAsia="Arial" w:hAnsi="Arial" w:cs="Arial"/>
          <w:b/>
        </w:rPr>
        <w:t xml:space="preserve">El sector </w:t>
      </w:r>
      <w:r w:rsidR="005A55B7">
        <w:rPr>
          <w:rFonts w:ascii="Arial" w:eastAsia="Arial" w:hAnsi="Arial" w:cs="Arial"/>
          <w:b/>
        </w:rPr>
        <w:t>es el único que crece respecto al trimestre anterior y, con una subida de 9 puntos, se sitúa con</w:t>
      </w:r>
      <w:r w:rsidR="005A55B7" w:rsidRPr="005A55B7">
        <w:rPr>
          <w:rFonts w:ascii="Arial" w:eastAsia="Arial" w:hAnsi="Arial" w:cs="Arial"/>
          <w:b/>
        </w:rPr>
        <w:t xml:space="preserve"> una</w:t>
      </w:r>
      <w:r w:rsidR="005A55B7">
        <w:rPr>
          <w:rFonts w:ascii="Arial" w:eastAsia="Arial" w:hAnsi="Arial" w:cs="Arial"/>
          <w:b/>
        </w:rPr>
        <w:t>s</w:t>
      </w:r>
      <w:r w:rsidR="005A55B7" w:rsidRPr="005A55B7">
        <w:rPr>
          <w:rFonts w:ascii="Arial" w:eastAsia="Arial" w:hAnsi="Arial" w:cs="Arial"/>
          <w:b/>
        </w:rPr>
        <w:t xml:space="preserve"> previsi</w:t>
      </w:r>
      <w:r w:rsidR="005A55B7">
        <w:rPr>
          <w:rFonts w:ascii="Arial" w:eastAsia="Arial" w:hAnsi="Arial" w:cs="Arial"/>
          <w:b/>
        </w:rPr>
        <w:t>ones netas</w:t>
      </w:r>
      <w:r w:rsidR="005A55B7" w:rsidRPr="005A55B7">
        <w:rPr>
          <w:rFonts w:ascii="Arial" w:eastAsia="Arial" w:hAnsi="Arial" w:cs="Arial"/>
          <w:b/>
        </w:rPr>
        <w:t xml:space="preserve"> del 33%</w:t>
      </w:r>
      <w:r w:rsidR="005A55B7">
        <w:rPr>
          <w:rFonts w:ascii="Arial" w:eastAsia="Arial" w:hAnsi="Arial" w:cs="Arial"/>
          <w:b/>
        </w:rPr>
        <w:t xml:space="preserve"> para el periodo </w:t>
      </w:r>
      <w:r w:rsidR="005A55B7" w:rsidRPr="005A55B7">
        <w:rPr>
          <w:rFonts w:ascii="Arial" w:eastAsia="Arial" w:hAnsi="Arial" w:cs="Arial"/>
          <w:b/>
        </w:rPr>
        <w:t>comprendido entre julio y septiembre</w:t>
      </w:r>
      <w:r w:rsidR="002B1165" w:rsidRPr="005A55B7">
        <w:rPr>
          <w:rFonts w:ascii="Arial" w:eastAsia="Arial" w:hAnsi="Arial" w:cs="Arial"/>
          <w:b/>
        </w:rPr>
        <w:t>.</w:t>
      </w:r>
    </w:p>
    <w:p w14:paraId="7CA61BAA" w14:textId="13BBE26F" w:rsidR="00B72312" w:rsidRPr="00B86D0C" w:rsidRDefault="008D7CD6" w:rsidP="00B310D1">
      <w:pPr>
        <w:spacing w:before="120" w:line="288" w:lineRule="auto"/>
        <w:jc w:val="center"/>
        <w:rPr>
          <w:rFonts w:ascii="Arial" w:eastAsia="Arial" w:hAnsi="Arial" w:cs="Arial"/>
          <w:b/>
          <w:sz w:val="23"/>
          <w:szCs w:val="23"/>
        </w:rPr>
      </w:pPr>
      <w:r w:rsidRPr="008D7CD6">
        <w:rPr>
          <w:rFonts w:ascii="Arial" w:eastAsia="Arial" w:hAnsi="Arial" w:cs="Arial"/>
          <w:b/>
          <w:sz w:val="23"/>
          <w:szCs w:val="23"/>
        </w:rPr>
        <w:drawing>
          <wp:inline distT="0" distB="0" distL="0" distR="0" wp14:anchorId="29EA7652" wp14:editId="4782C595">
            <wp:extent cx="3757582" cy="3060000"/>
            <wp:effectExtent l="0" t="0" r="0" b="7620"/>
            <wp:docPr id="1410707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07125" name=""/>
                    <pic:cNvPicPr/>
                  </pic:nvPicPr>
                  <pic:blipFill>
                    <a:blip r:embed="rId8"/>
                    <a:stretch>
                      <a:fillRect/>
                    </a:stretch>
                  </pic:blipFill>
                  <pic:spPr>
                    <a:xfrm>
                      <a:off x="0" y="0"/>
                      <a:ext cx="3757582" cy="3060000"/>
                    </a:xfrm>
                    <a:prstGeom prst="rect">
                      <a:avLst/>
                    </a:prstGeom>
                  </pic:spPr>
                </pic:pic>
              </a:graphicData>
            </a:graphic>
          </wp:inline>
        </w:drawing>
      </w:r>
    </w:p>
    <w:p w14:paraId="7726826D" w14:textId="472FC526" w:rsidR="005A55B7" w:rsidRPr="005A55B7" w:rsidRDefault="00B86D0C" w:rsidP="005A55B7">
      <w:pPr>
        <w:spacing w:before="120" w:line="288" w:lineRule="auto"/>
        <w:jc w:val="both"/>
        <w:rPr>
          <w:rFonts w:ascii="Arial" w:eastAsia="Times New Roman" w:hAnsi="Arial" w:cs="Arial"/>
          <w:sz w:val="22"/>
          <w:szCs w:val="22"/>
        </w:rPr>
      </w:pPr>
      <w:bookmarkStart w:id="5" w:name="_Hlk113557102"/>
      <w:bookmarkStart w:id="6" w:name="_Hlk137140302"/>
      <w:bookmarkEnd w:id="0"/>
      <w:r w:rsidRPr="00B310D1">
        <w:rPr>
          <w:rFonts w:ascii="Arial" w:eastAsia="Times New Roman" w:hAnsi="Arial" w:cs="Arial"/>
          <w:b/>
          <w:bCs/>
          <w:sz w:val="22"/>
          <w:szCs w:val="22"/>
        </w:rPr>
        <w:t>Madrid, 30 de junio de 2026.-</w:t>
      </w:r>
      <w:r w:rsidRPr="00B310D1">
        <w:rPr>
          <w:rFonts w:ascii="Arial" w:eastAsia="Times New Roman" w:hAnsi="Arial" w:cs="Arial"/>
          <w:sz w:val="22"/>
          <w:szCs w:val="22"/>
        </w:rPr>
        <w:t xml:space="preserve"> El </w:t>
      </w:r>
      <w:r w:rsidR="005A55B7" w:rsidRPr="005A55B7">
        <w:rPr>
          <w:rFonts w:ascii="Arial" w:eastAsia="Times New Roman" w:hAnsi="Arial" w:cs="Arial"/>
          <w:sz w:val="22"/>
          <w:szCs w:val="22"/>
        </w:rPr>
        <w:t xml:space="preserve">sector de </w:t>
      </w:r>
      <w:r w:rsidR="005A55B7" w:rsidRPr="005A55B7">
        <w:rPr>
          <w:rFonts w:ascii="Arial" w:eastAsia="Times New Roman" w:hAnsi="Arial" w:cs="Arial"/>
          <w:b/>
          <w:bCs/>
          <w:sz w:val="22"/>
          <w:szCs w:val="22"/>
        </w:rPr>
        <w:t>Telecomunicaciones, medios y entretenimiento registra una expectativa neta de generación de empleo del 33% para el tercer trimestre de 2026</w:t>
      </w:r>
      <w:r w:rsidR="005A55B7" w:rsidRPr="005A55B7">
        <w:rPr>
          <w:rFonts w:ascii="Arial" w:eastAsia="Times New Roman" w:hAnsi="Arial" w:cs="Arial"/>
          <w:sz w:val="22"/>
          <w:szCs w:val="22"/>
        </w:rPr>
        <w:t>, de acuerdo con los datos del Estudio de Proyección de Empleo de ManpowerGroup. Esta previsión sitúa al sector como el ámbito con mejores perspectivas de contratación para los próximos meses.</w:t>
      </w:r>
    </w:p>
    <w:p w14:paraId="1B6699FE" w14:textId="77777777" w:rsidR="005A55B7" w:rsidRPr="005A55B7" w:rsidRDefault="005A55B7" w:rsidP="005A55B7">
      <w:pPr>
        <w:spacing w:before="120" w:line="288" w:lineRule="auto"/>
        <w:jc w:val="both"/>
        <w:rPr>
          <w:rFonts w:ascii="Arial" w:eastAsia="Times New Roman" w:hAnsi="Arial" w:cs="Arial"/>
          <w:sz w:val="22"/>
          <w:szCs w:val="22"/>
        </w:rPr>
      </w:pPr>
      <w:r w:rsidRPr="005A55B7">
        <w:rPr>
          <w:rFonts w:ascii="Arial" w:eastAsia="Times New Roman" w:hAnsi="Arial" w:cs="Arial"/>
          <w:sz w:val="22"/>
          <w:szCs w:val="22"/>
        </w:rPr>
        <w:t>A pesar de la moderación registrada respecto al trimestre anterior, las compañías de Telecomunicaciones, medios y entretenimiento continúan mostrando una fuerte intención de contratación. Con una previsión del 33%, el sector lidera el ranking sectorial, consolidándose como el principal motor de generación de empleo en este periodo.</w:t>
      </w:r>
    </w:p>
    <w:p w14:paraId="4A2E6BA1" w14:textId="77777777" w:rsidR="005A55B7" w:rsidRPr="005A55B7" w:rsidRDefault="005A55B7" w:rsidP="005A55B7">
      <w:pPr>
        <w:spacing w:before="120" w:line="288" w:lineRule="auto"/>
        <w:jc w:val="both"/>
        <w:rPr>
          <w:rFonts w:ascii="Arial" w:eastAsia="Times New Roman" w:hAnsi="Arial" w:cs="Arial"/>
          <w:sz w:val="22"/>
          <w:szCs w:val="22"/>
        </w:rPr>
      </w:pPr>
      <w:r w:rsidRPr="005A55B7">
        <w:rPr>
          <w:rFonts w:ascii="Arial" w:eastAsia="Times New Roman" w:hAnsi="Arial" w:cs="Arial"/>
          <w:sz w:val="22"/>
          <w:szCs w:val="22"/>
        </w:rPr>
        <w:t xml:space="preserve">Aunque la expectativa de empleo experimenta una caída respecto al trimestre previo, el sector mantiene niveles elevados de contratación. La demanda de talento continúa siendo intensa </w:t>
      </w:r>
      <w:r w:rsidRPr="005A55B7">
        <w:rPr>
          <w:rFonts w:ascii="Arial" w:eastAsia="Times New Roman" w:hAnsi="Arial" w:cs="Arial"/>
          <w:sz w:val="22"/>
          <w:szCs w:val="22"/>
        </w:rPr>
        <w:lastRenderedPageBreak/>
        <w:t>en un entorno marcado por la digitalización, la evolución de los modelos de consumo de contenidos y la creciente necesidad de perfiles tecnológicos especializados.</w:t>
      </w:r>
    </w:p>
    <w:p w14:paraId="5436E44E" w14:textId="00CF0555" w:rsidR="005A55B7" w:rsidRPr="005A55B7" w:rsidRDefault="005A55B7" w:rsidP="005A55B7">
      <w:pPr>
        <w:spacing w:before="120" w:line="288" w:lineRule="auto"/>
        <w:jc w:val="both"/>
        <w:rPr>
          <w:rFonts w:ascii="Arial" w:eastAsia="Times New Roman" w:hAnsi="Arial" w:cs="Arial"/>
          <w:sz w:val="22"/>
          <w:szCs w:val="22"/>
        </w:rPr>
      </w:pPr>
      <w:r w:rsidRPr="005A55B7">
        <w:rPr>
          <w:rFonts w:ascii="Arial" w:eastAsia="Times New Roman" w:hAnsi="Arial" w:cs="Arial"/>
          <w:sz w:val="22"/>
          <w:szCs w:val="22"/>
        </w:rPr>
        <w:t>Tras Telecomunicaciones, medios y entretenimiento, los sectores con mejores previsiones de contratación son Energía y suministros y Tecnología (20%), seguidos de Hostelería (18%), Finanzas y seguros (16%) y Construcción e inmobiliario (15%). A continuación, se sitúan Logística y comercio (14%) y otros sectores que también mantienen expectativas positivas, aunque más moderadas.</w:t>
      </w:r>
    </w:p>
    <w:p w14:paraId="6EE649B6" w14:textId="09676802" w:rsidR="005A55B7" w:rsidRDefault="005A55B7" w:rsidP="005A55B7">
      <w:pPr>
        <w:spacing w:before="120" w:line="288" w:lineRule="auto"/>
        <w:jc w:val="both"/>
        <w:rPr>
          <w:rFonts w:ascii="Arial" w:eastAsia="Times New Roman" w:hAnsi="Arial" w:cs="Arial"/>
          <w:sz w:val="22"/>
          <w:szCs w:val="22"/>
        </w:rPr>
      </w:pPr>
      <w:r w:rsidRPr="005A55B7">
        <w:rPr>
          <w:rFonts w:ascii="Arial" w:eastAsia="Times New Roman" w:hAnsi="Arial" w:cs="Arial"/>
          <w:sz w:val="22"/>
          <w:szCs w:val="22"/>
        </w:rPr>
        <w:t>En palabras de</w:t>
      </w:r>
      <w:r w:rsidR="00975DEA">
        <w:rPr>
          <w:rFonts w:ascii="Arial" w:eastAsia="Times New Roman" w:hAnsi="Arial" w:cs="Arial"/>
          <w:sz w:val="22"/>
          <w:szCs w:val="22"/>
        </w:rPr>
        <w:t xml:space="preserve"> </w:t>
      </w:r>
      <w:r w:rsidR="00975DEA" w:rsidRPr="00975DEA">
        <w:rPr>
          <w:rFonts w:ascii="Arial" w:eastAsia="Times New Roman" w:hAnsi="Arial" w:cs="Arial"/>
          <w:b/>
          <w:bCs/>
          <w:sz w:val="22"/>
          <w:szCs w:val="22"/>
        </w:rPr>
        <w:t>Israel Escribano</w:t>
      </w:r>
      <w:r w:rsidRPr="005A55B7">
        <w:rPr>
          <w:rFonts w:ascii="Arial" w:eastAsia="Times New Roman" w:hAnsi="Arial" w:cs="Arial"/>
          <w:b/>
          <w:bCs/>
          <w:sz w:val="22"/>
          <w:szCs w:val="22"/>
        </w:rPr>
        <w:t xml:space="preserve">, </w:t>
      </w:r>
      <w:r w:rsidR="00975DEA" w:rsidRPr="006053FB">
        <w:rPr>
          <w:rFonts w:ascii="Arial" w:eastAsia="Times New Roman" w:hAnsi="Arial" w:cs="Arial"/>
          <w:b/>
          <w:bCs/>
          <w:sz w:val="22"/>
          <w:szCs w:val="22"/>
        </w:rPr>
        <w:t xml:space="preserve">director sectorial de </w:t>
      </w:r>
      <w:r w:rsidR="00975DEA">
        <w:rPr>
          <w:rFonts w:ascii="Arial" w:eastAsia="Times New Roman" w:hAnsi="Arial" w:cs="Arial"/>
          <w:b/>
          <w:bCs/>
          <w:sz w:val="22"/>
          <w:szCs w:val="22"/>
        </w:rPr>
        <w:t xml:space="preserve">IT </w:t>
      </w:r>
      <w:r w:rsidR="00975DEA" w:rsidRPr="006053FB">
        <w:rPr>
          <w:rFonts w:ascii="Arial" w:eastAsia="Times New Roman" w:hAnsi="Arial" w:cs="Arial"/>
          <w:b/>
          <w:bCs/>
          <w:sz w:val="22"/>
          <w:szCs w:val="22"/>
        </w:rPr>
        <w:t>en ManpowerGroup</w:t>
      </w:r>
      <w:r w:rsidR="00975DEA" w:rsidRPr="005A55B7">
        <w:rPr>
          <w:rFonts w:ascii="Arial" w:eastAsia="Times New Roman" w:hAnsi="Arial" w:cs="Arial"/>
          <w:b/>
          <w:bCs/>
          <w:sz w:val="22"/>
          <w:szCs w:val="22"/>
        </w:rPr>
        <w:t xml:space="preserve"> </w:t>
      </w:r>
      <w:r w:rsidRPr="005A55B7">
        <w:rPr>
          <w:rFonts w:ascii="Arial" w:eastAsia="Times New Roman" w:hAnsi="Arial" w:cs="Arial"/>
          <w:b/>
          <w:bCs/>
          <w:sz w:val="22"/>
          <w:szCs w:val="22"/>
        </w:rPr>
        <w:t>Experis</w:t>
      </w:r>
      <w:r w:rsidRPr="005A55B7">
        <w:rPr>
          <w:rFonts w:ascii="Arial" w:eastAsia="Times New Roman" w:hAnsi="Arial" w:cs="Arial"/>
          <w:sz w:val="22"/>
          <w:szCs w:val="22"/>
        </w:rPr>
        <w:t>, “</w:t>
      </w:r>
      <w:r w:rsidR="00975DEA">
        <w:rPr>
          <w:rFonts w:ascii="Arial" w:eastAsia="Times New Roman" w:hAnsi="Arial" w:cs="Arial"/>
          <w:i/>
          <w:iCs/>
          <w:sz w:val="22"/>
          <w:szCs w:val="22"/>
        </w:rPr>
        <w:t>la irrupción de la inteligencia artificial es un reto para las empresas de los distintos ámbitos relacionados con las t</w:t>
      </w:r>
      <w:r w:rsidRPr="00975DEA">
        <w:rPr>
          <w:rFonts w:ascii="Arial" w:eastAsia="Times New Roman" w:hAnsi="Arial" w:cs="Arial"/>
          <w:i/>
          <w:iCs/>
          <w:sz w:val="22"/>
          <w:szCs w:val="22"/>
        </w:rPr>
        <w:t xml:space="preserve">elecomunicaciones, </w:t>
      </w:r>
      <w:r w:rsidR="00975DEA">
        <w:rPr>
          <w:rFonts w:ascii="Arial" w:eastAsia="Times New Roman" w:hAnsi="Arial" w:cs="Arial"/>
          <w:i/>
          <w:iCs/>
          <w:sz w:val="22"/>
          <w:szCs w:val="22"/>
        </w:rPr>
        <w:t xml:space="preserve">los </w:t>
      </w:r>
      <w:r w:rsidRPr="00975DEA">
        <w:rPr>
          <w:rFonts w:ascii="Arial" w:eastAsia="Times New Roman" w:hAnsi="Arial" w:cs="Arial"/>
          <w:i/>
          <w:iCs/>
          <w:sz w:val="22"/>
          <w:szCs w:val="22"/>
        </w:rPr>
        <w:t xml:space="preserve">medios y </w:t>
      </w:r>
      <w:r w:rsidR="00975DEA">
        <w:rPr>
          <w:rFonts w:ascii="Arial" w:eastAsia="Times New Roman" w:hAnsi="Arial" w:cs="Arial"/>
          <w:i/>
          <w:iCs/>
          <w:sz w:val="22"/>
          <w:szCs w:val="22"/>
        </w:rPr>
        <w:t xml:space="preserve">el </w:t>
      </w:r>
      <w:r w:rsidRPr="00975DEA">
        <w:rPr>
          <w:rFonts w:ascii="Arial" w:eastAsia="Times New Roman" w:hAnsi="Arial" w:cs="Arial"/>
          <w:i/>
          <w:iCs/>
          <w:sz w:val="22"/>
          <w:szCs w:val="22"/>
        </w:rPr>
        <w:t>entretenimiento</w:t>
      </w:r>
      <w:r w:rsidR="00975DEA">
        <w:rPr>
          <w:rFonts w:ascii="Arial" w:eastAsia="Times New Roman" w:hAnsi="Arial" w:cs="Arial"/>
          <w:i/>
          <w:iCs/>
          <w:sz w:val="22"/>
          <w:szCs w:val="22"/>
        </w:rPr>
        <w:t xml:space="preserve">, pero también es una oportunidad. Nuevos perfiles y nuevas habilidades son necesarios para manejar la </w:t>
      </w:r>
      <w:r w:rsidRPr="00975DEA">
        <w:rPr>
          <w:rFonts w:ascii="Arial" w:eastAsia="Times New Roman" w:hAnsi="Arial" w:cs="Arial"/>
          <w:i/>
          <w:iCs/>
          <w:sz w:val="22"/>
          <w:szCs w:val="22"/>
        </w:rPr>
        <w:t xml:space="preserve">aceleración de la digitalización y </w:t>
      </w:r>
      <w:r w:rsidR="00975DEA">
        <w:rPr>
          <w:rFonts w:ascii="Arial" w:eastAsia="Times New Roman" w:hAnsi="Arial" w:cs="Arial"/>
          <w:i/>
          <w:iCs/>
          <w:sz w:val="22"/>
          <w:szCs w:val="22"/>
        </w:rPr>
        <w:t xml:space="preserve">la transformación </w:t>
      </w:r>
      <w:r w:rsidRPr="00975DEA">
        <w:rPr>
          <w:rFonts w:ascii="Arial" w:eastAsia="Times New Roman" w:hAnsi="Arial" w:cs="Arial"/>
          <w:i/>
          <w:iCs/>
          <w:sz w:val="22"/>
          <w:szCs w:val="22"/>
        </w:rPr>
        <w:t>los modelos de negocio</w:t>
      </w:r>
      <w:r w:rsidRPr="005A55B7">
        <w:rPr>
          <w:rFonts w:ascii="Arial" w:eastAsia="Times New Roman" w:hAnsi="Arial" w:cs="Arial"/>
          <w:sz w:val="22"/>
          <w:szCs w:val="22"/>
        </w:rPr>
        <w:t>”.</w:t>
      </w:r>
    </w:p>
    <w:p w14:paraId="7EAF4335" w14:textId="77777777" w:rsidR="005A55B7" w:rsidRDefault="005A55B7" w:rsidP="005A55B7">
      <w:pPr>
        <w:spacing w:before="120" w:line="288" w:lineRule="auto"/>
        <w:jc w:val="both"/>
        <w:rPr>
          <w:rFonts w:ascii="Arial" w:eastAsia="Times New Roman" w:hAnsi="Arial" w:cs="Arial"/>
          <w:sz w:val="22"/>
          <w:szCs w:val="22"/>
        </w:rPr>
      </w:pPr>
    </w:p>
    <w:p w14:paraId="58E16511" w14:textId="210C4601" w:rsidR="005A55B7" w:rsidRPr="005A55B7" w:rsidRDefault="005A55B7" w:rsidP="005A55B7">
      <w:pPr>
        <w:spacing w:before="120" w:line="288" w:lineRule="auto"/>
        <w:jc w:val="both"/>
        <w:rPr>
          <w:rFonts w:ascii="Arial" w:eastAsia="Times New Roman" w:hAnsi="Arial" w:cs="Arial"/>
          <w:b/>
          <w:bCs/>
          <w:sz w:val="22"/>
          <w:szCs w:val="22"/>
        </w:rPr>
      </w:pPr>
      <w:r w:rsidRPr="005A55B7">
        <w:rPr>
          <w:rFonts w:ascii="Arial" w:eastAsia="Times New Roman" w:hAnsi="Arial" w:cs="Arial"/>
          <w:b/>
          <w:bCs/>
          <w:sz w:val="22"/>
          <w:szCs w:val="22"/>
        </w:rPr>
        <w:t>Telecomunicaciones, medios y entretenimiento refuerza su liderazgo también en el contexto global</w:t>
      </w:r>
    </w:p>
    <w:p w14:paraId="6D17656D" w14:textId="59EF2A1F" w:rsidR="006053FB" w:rsidRDefault="005A55B7" w:rsidP="005A55B7">
      <w:pPr>
        <w:spacing w:before="120" w:line="288" w:lineRule="auto"/>
        <w:jc w:val="both"/>
        <w:rPr>
          <w:rFonts w:ascii="Arial" w:eastAsia="Times New Roman" w:hAnsi="Arial" w:cs="Arial"/>
          <w:sz w:val="22"/>
          <w:szCs w:val="22"/>
        </w:rPr>
      </w:pPr>
      <w:r w:rsidRPr="005A55B7">
        <w:rPr>
          <w:rFonts w:ascii="Arial" w:eastAsia="Times New Roman" w:hAnsi="Arial" w:cs="Arial"/>
          <w:sz w:val="22"/>
          <w:szCs w:val="22"/>
        </w:rPr>
        <w:t>Aunque la previsión de generación de empleo en el sector se sitúa en torno al 32% a nivel global, en España alcanza el 33%, lo que confirma un comportamiento alineado e incluso ligeramente superior al contexto internacional. En un escenario en el que la media nacional se sitúa en el 11%, el sector destaca como el principal impulsor del empleo y uno de los más dinámicos del mercado.</w:t>
      </w:r>
    </w:p>
    <w:p w14:paraId="5E881761" w14:textId="77777777" w:rsidR="006053FB" w:rsidRDefault="006053FB" w:rsidP="006053FB">
      <w:pPr>
        <w:spacing w:before="120" w:line="288" w:lineRule="auto"/>
        <w:jc w:val="both"/>
        <w:rPr>
          <w:rFonts w:ascii="Arial" w:eastAsia="Arial" w:hAnsi="Arial" w:cs="Arial"/>
          <w:bCs/>
          <w:sz w:val="20"/>
          <w:szCs w:val="20"/>
        </w:rPr>
      </w:pPr>
    </w:p>
    <w:bookmarkEnd w:id="1"/>
    <w:bookmarkEnd w:id="2"/>
    <w:bookmarkEnd w:id="3"/>
    <w:bookmarkEnd w:id="4"/>
    <w:bookmarkEnd w:id="5"/>
    <w:bookmarkEnd w:id="6"/>
    <w:p w14:paraId="097532EF" w14:textId="77777777" w:rsidR="00E743C6" w:rsidRPr="00B310D1" w:rsidRDefault="00E743C6" w:rsidP="00B310D1">
      <w:pPr>
        <w:spacing w:before="120" w:line="288" w:lineRule="auto"/>
        <w:jc w:val="both"/>
        <w:rPr>
          <w:rFonts w:ascii="Arial" w:hAnsi="Arial" w:cs="Arial"/>
          <w:color w:val="808080" w:themeColor="background1" w:themeShade="80"/>
          <w:sz w:val="20"/>
          <w:szCs w:val="20"/>
        </w:rPr>
      </w:pPr>
      <w:r w:rsidRPr="00B310D1">
        <w:rPr>
          <w:rFonts w:ascii="Arial" w:hAnsi="Arial" w:cs="Arial"/>
          <w:b/>
          <w:bCs/>
          <w:color w:val="808080" w:themeColor="background1" w:themeShade="80"/>
          <w:sz w:val="20"/>
          <w:szCs w:val="20"/>
        </w:rPr>
        <w:t xml:space="preserve">Sobre el Estudio de Proyección de Empleo de ManpowerGroup: </w:t>
      </w:r>
      <w:r w:rsidRPr="00B310D1">
        <w:rPr>
          <w:rFonts w:ascii="Arial" w:hAnsi="Arial" w:cs="Arial"/>
          <w:color w:val="808080" w:themeColor="background1" w:themeShade="80"/>
          <w:sz w:val="20"/>
          <w:szCs w:val="20"/>
        </w:rPr>
        <w:t>El Estudio de Proyección de Empleo de ManpowerGroup, utilizado en todo el mundo como indicador económico de referencia, es la encuesta de empleo más exhaustiva de este tipo. La Proyección de Empleo Neto se obtiene tomando el porcentaje de empresas que prevén un incremento de la contratación y restando el porcentaje de aquellas que esperan una reducción. El éxito del estudio, que se realiza desde 1962.</w:t>
      </w:r>
    </w:p>
    <w:p w14:paraId="702FA934" w14:textId="77777777" w:rsidR="00E743C6" w:rsidRPr="00B310D1" w:rsidRDefault="00E743C6" w:rsidP="00B310D1">
      <w:pPr>
        <w:spacing w:before="120" w:line="288" w:lineRule="auto"/>
        <w:jc w:val="both"/>
        <w:rPr>
          <w:rFonts w:ascii="Arial" w:hAnsi="Arial" w:cs="Arial"/>
          <w:color w:val="808080" w:themeColor="background1" w:themeShade="80"/>
          <w:sz w:val="20"/>
          <w:szCs w:val="20"/>
        </w:rPr>
      </w:pPr>
      <w:r w:rsidRPr="00B310D1">
        <w:rPr>
          <w:rFonts w:ascii="Arial" w:hAnsi="Arial" w:cs="Arial"/>
          <w:color w:val="808080" w:themeColor="background1" w:themeShade="80"/>
          <w:sz w:val="20"/>
          <w:szCs w:val="20"/>
        </w:rPr>
        <w:t>Los datos correspondientes al tercer trimestre se recopilaron entre el 1 y el 30 de abril de 2026. Los resultados reflejan la percepción de las empresas en el momento de la recogida de datos y pueden no incorporar el impacto potencial de acontecimientos posteriores. El tamaño de las empresas y los sectores se estandariza en todos los países para facilitar comparaciones internacionales.</w:t>
      </w:r>
    </w:p>
    <w:p w14:paraId="6F7B1A70" w14:textId="77777777" w:rsidR="00E743C6" w:rsidRDefault="00E743C6" w:rsidP="00B310D1">
      <w:pPr>
        <w:jc w:val="both"/>
        <w:rPr>
          <w:rFonts w:ascii="Arial" w:hAnsi="Arial" w:cs="Arial"/>
          <w:b/>
          <w:bCs/>
          <w:sz w:val="16"/>
          <w:szCs w:val="16"/>
        </w:rPr>
      </w:pPr>
    </w:p>
    <w:p w14:paraId="546FCD7F" w14:textId="77777777" w:rsidR="00B310D1" w:rsidRPr="00535BD3" w:rsidRDefault="00B310D1" w:rsidP="00B310D1">
      <w:pPr>
        <w:jc w:val="both"/>
        <w:rPr>
          <w:rFonts w:ascii="Arial" w:hAnsi="Arial" w:cs="Arial"/>
          <w:b/>
          <w:bCs/>
          <w:sz w:val="16"/>
          <w:szCs w:val="16"/>
        </w:rPr>
      </w:pPr>
    </w:p>
    <w:p w14:paraId="60B21FEA" w14:textId="77777777" w:rsidR="00E743C6" w:rsidRPr="00535BD3" w:rsidRDefault="00E743C6" w:rsidP="00B310D1">
      <w:pPr>
        <w:jc w:val="both"/>
        <w:rPr>
          <w:rFonts w:ascii="Arial" w:hAnsi="Arial" w:cs="Arial"/>
          <w:b/>
          <w:bCs/>
          <w:sz w:val="16"/>
          <w:szCs w:val="16"/>
        </w:rPr>
      </w:pPr>
    </w:p>
    <w:p w14:paraId="2C7F3D22" w14:textId="77777777" w:rsidR="00E743C6" w:rsidRPr="00535BD3" w:rsidRDefault="00E743C6" w:rsidP="00B310D1">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ManpowerGroup</w:t>
      </w:r>
    </w:p>
    <w:p w14:paraId="28591520"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27259234" w14:textId="602B53C8" w:rsidR="00E743C6" w:rsidRPr="00535BD3" w:rsidRDefault="00E743C6" w:rsidP="00B310D1">
      <w:pPr>
        <w:tabs>
          <w:tab w:val="right" w:pos="8838"/>
        </w:tabs>
        <w:autoSpaceDE w:val="0"/>
        <w:autoSpaceDN w:val="0"/>
        <w:adjustRightInd w:val="0"/>
        <w:jc w:val="both"/>
        <w:rPr>
          <w:rFonts w:ascii="Arial" w:hAnsi="Arial" w:cs="Arial"/>
          <w:sz w:val="16"/>
          <w:szCs w:val="16"/>
        </w:rPr>
      </w:pPr>
      <w:r w:rsidRPr="00535BD3">
        <w:rPr>
          <w:rFonts w:ascii="Arial" w:hAnsi="Arial" w:cs="Arial"/>
          <w:sz w:val="16"/>
          <w:szCs w:val="16"/>
        </w:rPr>
        <w:t xml:space="preserve">Más información en </w:t>
      </w:r>
      <w:hyperlink r:id="rId9" w:history="1">
        <w:r w:rsidRPr="00535BD3">
          <w:rPr>
            <w:rStyle w:val="Hipervnculo"/>
            <w:rFonts w:ascii="Arial" w:hAnsi="Arial" w:cs="Arial"/>
            <w:sz w:val="16"/>
            <w:szCs w:val="16"/>
          </w:rPr>
          <w:t>www.manpowergroup.es</w:t>
        </w:r>
      </w:hyperlink>
      <w:r w:rsidRPr="00535BD3">
        <w:rPr>
          <w:rFonts w:ascii="Arial" w:hAnsi="Arial" w:cs="Arial"/>
          <w:sz w:val="16"/>
          <w:szCs w:val="16"/>
        </w:rPr>
        <w:t>.</w:t>
      </w:r>
    </w:p>
    <w:p w14:paraId="6766AB22"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p>
    <w:p w14:paraId="68C013D0" w14:textId="77777777" w:rsidR="00E743C6" w:rsidRPr="00535BD3" w:rsidRDefault="00E743C6" w:rsidP="00B310D1">
      <w:pPr>
        <w:tabs>
          <w:tab w:val="right" w:pos="8838"/>
        </w:tabs>
        <w:autoSpaceDE w:val="0"/>
        <w:autoSpaceDN w:val="0"/>
        <w:adjustRightInd w:val="0"/>
        <w:jc w:val="both"/>
        <w:rPr>
          <w:rFonts w:ascii="Arial" w:hAnsi="Arial" w:cs="Arial"/>
          <w:sz w:val="16"/>
          <w:szCs w:val="16"/>
        </w:rPr>
      </w:pPr>
    </w:p>
    <w:p w14:paraId="2BC4F1F3" w14:textId="77777777" w:rsidR="00E743C6" w:rsidRPr="00535BD3" w:rsidRDefault="00E743C6" w:rsidP="00B310D1">
      <w:pPr>
        <w:tabs>
          <w:tab w:val="right" w:pos="8838"/>
        </w:tabs>
        <w:autoSpaceDE w:val="0"/>
        <w:autoSpaceDN w:val="0"/>
        <w:adjustRightInd w:val="0"/>
        <w:jc w:val="both"/>
        <w:rPr>
          <w:rFonts w:ascii="Arial" w:hAnsi="Arial" w:cs="Arial"/>
          <w:b/>
          <w:bCs/>
          <w:sz w:val="16"/>
          <w:szCs w:val="16"/>
        </w:rPr>
      </w:pPr>
      <w:r w:rsidRPr="00535BD3">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E743C6" w:rsidRPr="00535BD3" w14:paraId="241127AA" w14:textId="77777777" w:rsidTr="006F2E1B">
        <w:trPr>
          <w:trHeight w:val="1159"/>
        </w:trPr>
        <w:tc>
          <w:tcPr>
            <w:tcW w:w="3686" w:type="dxa"/>
            <w:hideMark/>
          </w:tcPr>
          <w:p w14:paraId="3D82B385" w14:textId="77777777" w:rsidR="00E743C6" w:rsidRPr="00535BD3" w:rsidRDefault="00E743C6" w:rsidP="00B310D1">
            <w:pPr>
              <w:pStyle w:val="NormalWeb"/>
              <w:spacing w:before="0" w:beforeAutospacing="0" w:after="0" w:afterAutospacing="0"/>
              <w:jc w:val="both"/>
              <w:rPr>
                <w:rStyle w:val="Hipervnculo"/>
                <w:rFonts w:ascii="Arial" w:eastAsia="MS Mincho" w:hAnsi="Arial" w:cs="Arial"/>
                <w:sz w:val="16"/>
                <w:szCs w:val="16"/>
              </w:rPr>
            </w:pPr>
            <w:bookmarkStart w:id="7" w:name="_Hlk90207537"/>
            <w:r w:rsidRPr="00535BD3">
              <w:rPr>
                <w:rFonts w:ascii="Arial" w:hAnsi="Arial" w:cs="Arial"/>
                <w:color w:val="000000"/>
                <w:sz w:val="16"/>
                <w:szCs w:val="16"/>
                <w:u w:val="single"/>
              </w:rPr>
              <w:lastRenderedPageBreak/>
              <w:t>Agencia de comunicación Havas PR</w:t>
            </w:r>
          </w:p>
          <w:p w14:paraId="5A2DD0A7" w14:textId="77777777" w:rsidR="00E743C6" w:rsidRPr="00535BD3" w:rsidRDefault="00E743C6" w:rsidP="00B310D1">
            <w:pPr>
              <w:pStyle w:val="NormalWeb"/>
              <w:spacing w:before="0" w:beforeAutospacing="0" w:after="0" w:afterAutospacing="0"/>
              <w:jc w:val="both"/>
              <w:rPr>
                <w:rFonts w:ascii="Arial" w:hAnsi="Arial" w:cs="Arial"/>
                <w:color w:val="000000"/>
                <w:sz w:val="16"/>
                <w:szCs w:val="16"/>
              </w:rPr>
            </w:pPr>
            <w:hyperlink r:id="rId10" w:history="1">
              <w:r w:rsidRPr="00535BD3">
                <w:rPr>
                  <w:rStyle w:val="Hipervnculo"/>
                  <w:rFonts w:ascii="Arial" w:hAnsi="Arial" w:cs="Arial"/>
                  <w:sz w:val="16"/>
                  <w:szCs w:val="16"/>
                </w:rPr>
                <w:t>comunicacion.manpowergroup@havas.com</w:t>
              </w:r>
            </w:hyperlink>
            <w:r w:rsidRPr="00535BD3">
              <w:rPr>
                <w:rFonts w:ascii="Arial" w:hAnsi="Arial" w:cs="Arial"/>
                <w:color w:val="000000"/>
                <w:sz w:val="16"/>
                <w:szCs w:val="16"/>
              </w:rPr>
              <w:t xml:space="preserve"> </w:t>
            </w:r>
          </w:p>
          <w:p w14:paraId="2AAA809E" w14:textId="77777777" w:rsidR="00E743C6" w:rsidRPr="00535BD3" w:rsidRDefault="00E743C6" w:rsidP="00B310D1">
            <w:pPr>
              <w:jc w:val="both"/>
              <w:outlineLvl w:val="0"/>
              <w:rPr>
                <w:rFonts w:ascii="Arial" w:hAnsi="Arial" w:cs="Arial"/>
                <w:b/>
                <w:sz w:val="16"/>
                <w:szCs w:val="16"/>
                <w:lang w:val="ca-ES"/>
              </w:rPr>
            </w:pPr>
          </w:p>
        </w:tc>
        <w:tc>
          <w:tcPr>
            <w:tcW w:w="2234" w:type="dxa"/>
          </w:tcPr>
          <w:p w14:paraId="6A150117" w14:textId="77777777" w:rsidR="00E743C6" w:rsidRPr="00535BD3" w:rsidRDefault="00E743C6" w:rsidP="00B310D1">
            <w:pPr>
              <w:jc w:val="both"/>
              <w:rPr>
                <w:rFonts w:ascii="Arial" w:hAnsi="Arial" w:cs="Arial"/>
                <w:sz w:val="16"/>
                <w:szCs w:val="16"/>
                <w:lang w:val="ca-ES"/>
              </w:rPr>
            </w:pPr>
          </w:p>
        </w:tc>
        <w:tc>
          <w:tcPr>
            <w:tcW w:w="3028" w:type="dxa"/>
          </w:tcPr>
          <w:p w14:paraId="42D7CB70" w14:textId="77777777" w:rsidR="00E743C6" w:rsidRPr="00535BD3" w:rsidRDefault="00E743C6" w:rsidP="00B310D1">
            <w:pPr>
              <w:jc w:val="both"/>
              <w:outlineLvl w:val="0"/>
              <w:rPr>
                <w:rFonts w:ascii="Arial" w:hAnsi="Arial" w:cs="Arial"/>
                <w:b/>
                <w:sz w:val="16"/>
                <w:szCs w:val="16"/>
              </w:rPr>
            </w:pPr>
            <w:r w:rsidRPr="00535BD3">
              <w:rPr>
                <w:rFonts w:ascii="Arial" w:hAnsi="Arial" w:cs="Arial"/>
                <w:b/>
                <w:sz w:val="16"/>
                <w:szCs w:val="16"/>
              </w:rPr>
              <w:t>ManpowerGroup</w:t>
            </w:r>
          </w:p>
          <w:p w14:paraId="6BA459BB" w14:textId="77777777" w:rsidR="00E743C6" w:rsidRPr="00535BD3" w:rsidRDefault="00E743C6" w:rsidP="00B310D1">
            <w:pPr>
              <w:jc w:val="both"/>
              <w:outlineLvl w:val="0"/>
              <w:rPr>
                <w:rFonts w:ascii="Arial" w:hAnsi="Arial" w:cs="Arial"/>
                <w:sz w:val="16"/>
                <w:szCs w:val="16"/>
              </w:rPr>
            </w:pPr>
            <w:r w:rsidRPr="00535BD3">
              <w:rPr>
                <w:rFonts w:ascii="Arial" w:hAnsi="Arial" w:cs="Arial"/>
                <w:sz w:val="16"/>
                <w:szCs w:val="16"/>
              </w:rPr>
              <w:t>Dpto. Comunicación</w:t>
            </w:r>
          </w:p>
          <w:p w14:paraId="1B13572B"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 xml:space="preserve">Gala Díaz Curiel </w:t>
            </w:r>
          </w:p>
          <w:p w14:paraId="5003C664"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607 35 33 49</w:t>
            </w:r>
          </w:p>
          <w:p w14:paraId="3BDEC5E4" w14:textId="77777777" w:rsidR="00E743C6" w:rsidRPr="00535BD3" w:rsidRDefault="00E743C6" w:rsidP="00B310D1">
            <w:pPr>
              <w:jc w:val="both"/>
              <w:rPr>
                <w:rFonts w:ascii="Arial" w:hAnsi="Arial" w:cs="Arial"/>
                <w:sz w:val="16"/>
                <w:szCs w:val="16"/>
                <w:u w:val="single"/>
              </w:rPr>
            </w:pPr>
            <w:hyperlink r:id="rId11" w:history="1">
              <w:r w:rsidRPr="00535BD3">
                <w:rPr>
                  <w:rStyle w:val="Hipervnculo"/>
                  <w:rFonts w:ascii="Arial" w:hAnsi="Arial" w:cs="Arial"/>
                  <w:sz w:val="16"/>
                  <w:szCs w:val="16"/>
                </w:rPr>
                <w:t>gala.diaz@manpowergroup.es</w:t>
              </w:r>
            </w:hyperlink>
          </w:p>
          <w:p w14:paraId="6C5A9451" w14:textId="77777777" w:rsidR="00E743C6" w:rsidRPr="00535BD3" w:rsidRDefault="00E743C6" w:rsidP="00B310D1">
            <w:pPr>
              <w:jc w:val="both"/>
              <w:rPr>
                <w:rFonts w:ascii="Arial" w:hAnsi="Arial" w:cs="Arial"/>
                <w:sz w:val="16"/>
                <w:szCs w:val="16"/>
              </w:rPr>
            </w:pPr>
          </w:p>
          <w:p w14:paraId="69F8D51E" w14:textId="77777777" w:rsidR="00E743C6" w:rsidRPr="00535BD3" w:rsidRDefault="00E743C6" w:rsidP="00B310D1">
            <w:pPr>
              <w:jc w:val="both"/>
              <w:rPr>
                <w:rFonts w:ascii="Arial" w:hAnsi="Arial" w:cs="Arial"/>
                <w:sz w:val="16"/>
                <w:szCs w:val="16"/>
              </w:rPr>
            </w:pPr>
            <w:r w:rsidRPr="00535BD3">
              <w:rPr>
                <w:rFonts w:ascii="Arial" w:hAnsi="Arial" w:cs="Arial"/>
                <w:sz w:val="16"/>
                <w:szCs w:val="16"/>
              </w:rPr>
              <w:t>Juan Gómez Rodríguez</w:t>
            </w:r>
          </w:p>
          <w:p w14:paraId="0A14DD1B" w14:textId="77777777" w:rsidR="00E743C6" w:rsidRPr="00535BD3" w:rsidRDefault="00E743C6" w:rsidP="00B310D1">
            <w:pPr>
              <w:jc w:val="both"/>
              <w:rPr>
                <w:rFonts w:ascii="Arial" w:hAnsi="Arial" w:cs="Arial"/>
                <w:sz w:val="16"/>
                <w:szCs w:val="16"/>
                <w:lang w:val="de-DE"/>
              </w:rPr>
            </w:pPr>
            <w:r w:rsidRPr="00535BD3">
              <w:rPr>
                <w:rFonts w:ascii="Arial" w:hAnsi="Arial" w:cs="Arial"/>
                <w:sz w:val="16"/>
                <w:szCs w:val="16"/>
                <w:lang w:val="de-DE"/>
              </w:rPr>
              <w:t>Tel. 687 51 96 90</w:t>
            </w:r>
          </w:p>
          <w:p w14:paraId="5D731C4A" w14:textId="77777777" w:rsidR="00E743C6" w:rsidRPr="00535BD3" w:rsidRDefault="00E743C6" w:rsidP="00B310D1">
            <w:pPr>
              <w:jc w:val="both"/>
              <w:rPr>
                <w:rFonts w:ascii="Arial" w:hAnsi="Arial" w:cs="Arial"/>
                <w:sz w:val="16"/>
                <w:szCs w:val="16"/>
                <w:lang w:val="de-DE"/>
              </w:rPr>
            </w:pPr>
            <w:hyperlink r:id="rId12" w:history="1">
              <w:r w:rsidRPr="00535BD3">
                <w:rPr>
                  <w:rStyle w:val="Hipervnculo"/>
                  <w:rFonts w:ascii="Arial" w:hAnsi="Arial" w:cs="Arial"/>
                  <w:sz w:val="16"/>
                  <w:szCs w:val="16"/>
                  <w:lang w:val="de-DE"/>
                </w:rPr>
                <w:t>juan.gomez@manpowergroup.es</w:t>
              </w:r>
            </w:hyperlink>
          </w:p>
        </w:tc>
      </w:tr>
      <w:bookmarkEnd w:id="7"/>
    </w:tbl>
    <w:p w14:paraId="412B63FF" w14:textId="77777777" w:rsidR="00E743C6" w:rsidRPr="00F51FFC" w:rsidRDefault="00E743C6" w:rsidP="008B2B6D">
      <w:pPr>
        <w:tabs>
          <w:tab w:val="right" w:pos="8838"/>
        </w:tabs>
        <w:autoSpaceDE w:val="0"/>
        <w:autoSpaceDN w:val="0"/>
        <w:adjustRightInd w:val="0"/>
        <w:jc w:val="both"/>
        <w:rPr>
          <w:rFonts w:ascii="Arial" w:hAnsi="Arial" w:cs="Arial"/>
          <w:b/>
          <w:bCs/>
          <w:sz w:val="16"/>
          <w:szCs w:val="16"/>
          <w:lang w:val="de-DE"/>
        </w:rPr>
      </w:pPr>
    </w:p>
    <w:sectPr w:rsidR="00E743C6" w:rsidRPr="00F51FFC" w:rsidSect="006A2051">
      <w:headerReference w:type="default" r:id="rId13"/>
      <w:footerReference w:type="even" r:id="rId14"/>
      <w:footerReference w:type="default" r:id="rId15"/>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53AD" w14:textId="77777777" w:rsidR="00B961D7" w:rsidRDefault="00B961D7">
      <w:r>
        <w:separator/>
      </w:r>
    </w:p>
  </w:endnote>
  <w:endnote w:type="continuationSeparator" w:id="0">
    <w:p w14:paraId="256971ED" w14:textId="77777777" w:rsidR="00B961D7" w:rsidRDefault="00B9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07CE5864" w:rsidR="00FB1381" w:rsidRDefault="00A26A8F" w:rsidP="006A2051">
    <w:pPr>
      <w:pStyle w:val="Piedepgina"/>
      <w:jc w:val="center"/>
    </w:pPr>
    <w:r>
      <w:rPr>
        <w:noProof/>
      </w:rPr>
      <w:drawing>
        <wp:inline distT="0" distB="0" distL="0" distR="0" wp14:anchorId="1221A69C" wp14:editId="023E855C">
          <wp:extent cx="4871545" cy="685800"/>
          <wp:effectExtent l="0" t="0" r="5715" b="0"/>
          <wp:docPr id="70376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6221" name="Imagen 70376221"/>
                  <pic:cNvPicPr/>
                </pic:nvPicPr>
                <pic:blipFill>
                  <a:blip r:embed="rId1">
                    <a:extLst>
                      <a:ext uri="{28A0092B-C50C-407E-A947-70E740481C1C}">
                        <a14:useLocalDpi xmlns:a14="http://schemas.microsoft.com/office/drawing/2010/main" val="0"/>
                      </a:ext>
                    </a:extLst>
                  </a:blip>
                  <a:stretch>
                    <a:fillRect/>
                  </a:stretch>
                </pic:blipFill>
                <pic:spPr>
                  <a:xfrm>
                    <a:off x="0" y="0"/>
                    <a:ext cx="4876006" cy="6864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C87B" w14:textId="77777777" w:rsidR="00B961D7" w:rsidRDefault="00B961D7">
      <w:r>
        <w:separator/>
      </w:r>
    </w:p>
  </w:footnote>
  <w:footnote w:type="continuationSeparator" w:id="0">
    <w:p w14:paraId="12609D14" w14:textId="77777777" w:rsidR="00B961D7" w:rsidRDefault="00B9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12BA7019" w:rsidR="006A2051" w:rsidRDefault="006A2051" w:rsidP="00F34829">
    <w:pPr>
      <w:pStyle w:val="Encabezado"/>
      <w:rPr>
        <w:rFonts w:ascii="Verdana" w:hAnsi="Verdana"/>
        <w:noProof/>
        <w:color w:val="616161"/>
        <w:sz w:val="14"/>
        <w:szCs w:val="14"/>
      </w:rPr>
    </w:pPr>
    <w:bookmarkStart w:id="8" w:name="_Hlk216197163"/>
    <w:bookmarkStart w:id="9" w:name="_Hlk216197164"/>
    <w:bookmarkStart w:id="10" w:name="_Hlk216197174"/>
    <w:bookmarkStart w:id="11" w:name="_Hlk216197175"/>
    <w:r>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r w:rsidR="009C6E19" w:rsidRPr="009C6E19">
      <w:rPr>
        <w:rFonts w:ascii="Verdana" w:hAnsi="Verdana"/>
        <w:noProof/>
        <w:color w:val="616161"/>
        <w:sz w:val="14"/>
        <w:szCs w:val="14"/>
      </w:rPr>
      <w:drawing>
        <wp:inline distT="0" distB="0" distL="0" distR="0" wp14:anchorId="111AF847" wp14:editId="46A165F5">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8"/>
  <w:bookmarkEnd w:id="9"/>
  <w:bookmarkEnd w:id="10"/>
  <w:bookmarkEnd w:id="11"/>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4B"/>
    <w:multiLevelType w:val="hybridMultilevel"/>
    <w:tmpl w:val="67B617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E1CB6"/>
    <w:multiLevelType w:val="hybridMultilevel"/>
    <w:tmpl w:val="4746D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7"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3"/>
  </w:num>
  <w:num w:numId="2" w16cid:durableId="1342783302">
    <w:abstractNumId w:val="6"/>
  </w:num>
  <w:num w:numId="3" w16cid:durableId="305208792">
    <w:abstractNumId w:val="5"/>
  </w:num>
  <w:num w:numId="4" w16cid:durableId="126244196">
    <w:abstractNumId w:val="4"/>
  </w:num>
  <w:num w:numId="5" w16cid:durableId="1245341768">
    <w:abstractNumId w:val="8"/>
  </w:num>
  <w:num w:numId="6" w16cid:durableId="597829097">
    <w:abstractNumId w:val="7"/>
  </w:num>
  <w:num w:numId="7" w16cid:durableId="2127692794">
    <w:abstractNumId w:val="1"/>
  </w:num>
  <w:num w:numId="8" w16cid:durableId="2060670331">
    <w:abstractNumId w:val="2"/>
  </w:num>
  <w:num w:numId="9" w16cid:durableId="66756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07C8"/>
    <w:rsid w:val="000258CF"/>
    <w:rsid w:val="00027080"/>
    <w:rsid w:val="00030253"/>
    <w:rsid w:val="00030508"/>
    <w:rsid w:val="000310B8"/>
    <w:rsid w:val="0003516C"/>
    <w:rsid w:val="0004003B"/>
    <w:rsid w:val="00042488"/>
    <w:rsid w:val="00043926"/>
    <w:rsid w:val="00047806"/>
    <w:rsid w:val="000507C4"/>
    <w:rsid w:val="00063579"/>
    <w:rsid w:val="00066C14"/>
    <w:rsid w:val="00071876"/>
    <w:rsid w:val="000752A6"/>
    <w:rsid w:val="0008054F"/>
    <w:rsid w:val="000869A2"/>
    <w:rsid w:val="00090345"/>
    <w:rsid w:val="000915ED"/>
    <w:rsid w:val="00092740"/>
    <w:rsid w:val="000A1973"/>
    <w:rsid w:val="000A1EBF"/>
    <w:rsid w:val="000A1F63"/>
    <w:rsid w:val="000A3669"/>
    <w:rsid w:val="000A5406"/>
    <w:rsid w:val="000A7606"/>
    <w:rsid w:val="000A7DFE"/>
    <w:rsid w:val="000C12D2"/>
    <w:rsid w:val="000C1F4F"/>
    <w:rsid w:val="000C326C"/>
    <w:rsid w:val="000C41F9"/>
    <w:rsid w:val="000D00D5"/>
    <w:rsid w:val="000D2B5A"/>
    <w:rsid w:val="000D573A"/>
    <w:rsid w:val="000D6AB6"/>
    <w:rsid w:val="000E191A"/>
    <w:rsid w:val="000F11D7"/>
    <w:rsid w:val="000F269C"/>
    <w:rsid w:val="000F428E"/>
    <w:rsid w:val="000F4634"/>
    <w:rsid w:val="00103F84"/>
    <w:rsid w:val="0011607A"/>
    <w:rsid w:val="0012170F"/>
    <w:rsid w:val="00123899"/>
    <w:rsid w:val="00124DEA"/>
    <w:rsid w:val="00131287"/>
    <w:rsid w:val="001319E5"/>
    <w:rsid w:val="001324E2"/>
    <w:rsid w:val="00132EA5"/>
    <w:rsid w:val="00143F63"/>
    <w:rsid w:val="001442A6"/>
    <w:rsid w:val="001463C1"/>
    <w:rsid w:val="00147F82"/>
    <w:rsid w:val="00153505"/>
    <w:rsid w:val="00154F3A"/>
    <w:rsid w:val="0015531B"/>
    <w:rsid w:val="00156E14"/>
    <w:rsid w:val="00166FA8"/>
    <w:rsid w:val="00171AAA"/>
    <w:rsid w:val="00171C34"/>
    <w:rsid w:val="001740C7"/>
    <w:rsid w:val="00175E3F"/>
    <w:rsid w:val="00177CB8"/>
    <w:rsid w:val="00181155"/>
    <w:rsid w:val="00187625"/>
    <w:rsid w:val="00190E3D"/>
    <w:rsid w:val="00195CAB"/>
    <w:rsid w:val="001A2A76"/>
    <w:rsid w:val="001A332D"/>
    <w:rsid w:val="001A60DD"/>
    <w:rsid w:val="001A645B"/>
    <w:rsid w:val="001A645F"/>
    <w:rsid w:val="001B39AD"/>
    <w:rsid w:val="001C10B4"/>
    <w:rsid w:val="001C702D"/>
    <w:rsid w:val="001D5BD3"/>
    <w:rsid w:val="001E0B29"/>
    <w:rsid w:val="001E24E8"/>
    <w:rsid w:val="001E6322"/>
    <w:rsid w:val="001E7292"/>
    <w:rsid w:val="001F3A45"/>
    <w:rsid w:val="001F3E41"/>
    <w:rsid w:val="001F5C01"/>
    <w:rsid w:val="001F7ADD"/>
    <w:rsid w:val="00204B99"/>
    <w:rsid w:val="00204E64"/>
    <w:rsid w:val="002059D2"/>
    <w:rsid w:val="00205D68"/>
    <w:rsid w:val="0021069A"/>
    <w:rsid w:val="00212129"/>
    <w:rsid w:val="002246BA"/>
    <w:rsid w:val="00224DE1"/>
    <w:rsid w:val="00231877"/>
    <w:rsid w:val="002331A8"/>
    <w:rsid w:val="00234172"/>
    <w:rsid w:val="00235658"/>
    <w:rsid w:val="0024317A"/>
    <w:rsid w:val="00252A0D"/>
    <w:rsid w:val="00261409"/>
    <w:rsid w:val="00264632"/>
    <w:rsid w:val="00271614"/>
    <w:rsid w:val="00274A5D"/>
    <w:rsid w:val="0027680B"/>
    <w:rsid w:val="00281944"/>
    <w:rsid w:val="00294475"/>
    <w:rsid w:val="002A2DD5"/>
    <w:rsid w:val="002A3D92"/>
    <w:rsid w:val="002A78A1"/>
    <w:rsid w:val="002B1165"/>
    <w:rsid w:val="002B3F52"/>
    <w:rsid w:val="002C01E7"/>
    <w:rsid w:val="002C02D9"/>
    <w:rsid w:val="002D032D"/>
    <w:rsid w:val="002E1864"/>
    <w:rsid w:val="002E285C"/>
    <w:rsid w:val="002E2F04"/>
    <w:rsid w:val="002E4A5C"/>
    <w:rsid w:val="002E5E6F"/>
    <w:rsid w:val="002F2E0A"/>
    <w:rsid w:val="002F4816"/>
    <w:rsid w:val="003006FC"/>
    <w:rsid w:val="003019C9"/>
    <w:rsid w:val="003108C5"/>
    <w:rsid w:val="00310DC4"/>
    <w:rsid w:val="0031176F"/>
    <w:rsid w:val="0031490C"/>
    <w:rsid w:val="00321F4F"/>
    <w:rsid w:val="0032424C"/>
    <w:rsid w:val="00326089"/>
    <w:rsid w:val="00326125"/>
    <w:rsid w:val="00326FC2"/>
    <w:rsid w:val="00331310"/>
    <w:rsid w:val="00332D02"/>
    <w:rsid w:val="00336187"/>
    <w:rsid w:val="00337FD2"/>
    <w:rsid w:val="00344595"/>
    <w:rsid w:val="00346E05"/>
    <w:rsid w:val="003470C8"/>
    <w:rsid w:val="003509A5"/>
    <w:rsid w:val="0035552B"/>
    <w:rsid w:val="0036538C"/>
    <w:rsid w:val="003657F6"/>
    <w:rsid w:val="00380B8C"/>
    <w:rsid w:val="003837E6"/>
    <w:rsid w:val="00383F58"/>
    <w:rsid w:val="00390D3C"/>
    <w:rsid w:val="003923EE"/>
    <w:rsid w:val="003A1B09"/>
    <w:rsid w:val="003A214F"/>
    <w:rsid w:val="003A2B29"/>
    <w:rsid w:val="003A49AD"/>
    <w:rsid w:val="003A5A50"/>
    <w:rsid w:val="003A6138"/>
    <w:rsid w:val="003A6E78"/>
    <w:rsid w:val="003B07C9"/>
    <w:rsid w:val="003C2224"/>
    <w:rsid w:val="003C61D6"/>
    <w:rsid w:val="003C6EC8"/>
    <w:rsid w:val="003D0E85"/>
    <w:rsid w:val="003D4F9E"/>
    <w:rsid w:val="003D6B89"/>
    <w:rsid w:val="003E371D"/>
    <w:rsid w:val="003F1121"/>
    <w:rsid w:val="00401989"/>
    <w:rsid w:val="00406BD9"/>
    <w:rsid w:val="00407AD8"/>
    <w:rsid w:val="0041325B"/>
    <w:rsid w:val="00413BA3"/>
    <w:rsid w:val="00415A6A"/>
    <w:rsid w:val="00416931"/>
    <w:rsid w:val="00424DEC"/>
    <w:rsid w:val="00425DEE"/>
    <w:rsid w:val="0043086E"/>
    <w:rsid w:val="00435EEA"/>
    <w:rsid w:val="0044035B"/>
    <w:rsid w:val="00441AA5"/>
    <w:rsid w:val="00443A21"/>
    <w:rsid w:val="00456993"/>
    <w:rsid w:val="004612C2"/>
    <w:rsid w:val="00464EA3"/>
    <w:rsid w:val="00475A4A"/>
    <w:rsid w:val="00485852"/>
    <w:rsid w:val="00485E70"/>
    <w:rsid w:val="00493CFD"/>
    <w:rsid w:val="004958BB"/>
    <w:rsid w:val="00497689"/>
    <w:rsid w:val="004A4DEB"/>
    <w:rsid w:val="004B5032"/>
    <w:rsid w:val="004C0F40"/>
    <w:rsid w:val="004C607E"/>
    <w:rsid w:val="004C62C0"/>
    <w:rsid w:val="004C6DBC"/>
    <w:rsid w:val="004C7FBD"/>
    <w:rsid w:val="004D1FAF"/>
    <w:rsid w:val="004D4711"/>
    <w:rsid w:val="004D5F53"/>
    <w:rsid w:val="004E23C4"/>
    <w:rsid w:val="004E2530"/>
    <w:rsid w:val="004E403C"/>
    <w:rsid w:val="004F67EC"/>
    <w:rsid w:val="004F7AE3"/>
    <w:rsid w:val="00511519"/>
    <w:rsid w:val="00512001"/>
    <w:rsid w:val="00514004"/>
    <w:rsid w:val="005201CA"/>
    <w:rsid w:val="005229BB"/>
    <w:rsid w:val="00525188"/>
    <w:rsid w:val="00530474"/>
    <w:rsid w:val="00533536"/>
    <w:rsid w:val="00533EC8"/>
    <w:rsid w:val="00541A7B"/>
    <w:rsid w:val="00543126"/>
    <w:rsid w:val="005443A1"/>
    <w:rsid w:val="00546498"/>
    <w:rsid w:val="00547D42"/>
    <w:rsid w:val="005602DF"/>
    <w:rsid w:val="00561B53"/>
    <w:rsid w:val="005630A5"/>
    <w:rsid w:val="00565989"/>
    <w:rsid w:val="00576DDF"/>
    <w:rsid w:val="00577B92"/>
    <w:rsid w:val="0058531F"/>
    <w:rsid w:val="00590192"/>
    <w:rsid w:val="0059060D"/>
    <w:rsid w:val="005A55B7"/>
    <w:rsid w:val="005A7DB1"/>
    <w:rsid w:val="005A7E9C"/>
    <w:rsid w:val="005B2218"/>
    <w:rsid w:val="005B5B40"/>
    <w:rsid w:val="005B7CDC"/>
    <w:rsid w:val="005C33ED"/>
    <w:rsid w:val="005C4439"/>
    <w:rsid w:val="005C59AF"/>
    <w:rsid w:val="005D1AE9"/>
    <w:rsid w:val="005D5DC2"/>
    <w:rsid w:val="005E0E99"/>
    <w:rsid w:val="005E1842"/>
    <w:rsid w:val="005E4173"/>
    <w:rsid w:val="005E6887"/>
    <w:rsid w:val="005F1B79"/>
    <w:rsid w:val="005F1CEB"/>
    <w:rsid w:val="005F3998"/>
    <w:rsid w:val="00600F24"/>
    <w:rsid w:val="0060110C"/>
    <w:rsid w:val="006053FB"/>
    <w:rsid w:val="00610958"/>
    <w:rsid w:val="00617DAE"/>
    <w:rsid w:val="006210BA"/>
    <w:rsid w:val="006213E2"/>
    <w:rsid w:val="00624FC4"/>
    <w:rsid w:val="00640A0A"/>
    <w:rsid w:val="006421FF"/>
    <w:rsid w:val="0064466A"/>
    <w:rsid w:val="006515B4"/>
    <w:rsid w:val="00652342"/>
    <w:rsid w:val="006570E0"/>
    <w:rsid w:val="006602D5"/>
    <w:rsid w:val="00663580"/>
    <w:rsid w:val="006809AA"/>
    <w:rsid w:val="00681150"/>
    <w:rsid w:val="00685895"/>
    <w:rsid w:val="00685FB7"/>
    <w:rsid w:val="0068687C"/>
    <w:rsid w:val="00687087"/>
    <w:rsid w:val="0069236B"/>
    <w:rsid w:val="00694B11"/>
    <w:rsid w:val="00697039"/>
    <w:rsid w:val="006972C0"/>
    <w:rsid w:val="006A1012"/>
    <w:rsid w:val="006A2051"/>
    <w:rsid w:val="006A71A2"/>
    <w:rsid w:val="006A7C62"/>
    <w:rsid w:val="006B0AED"/>
    <w:rsid w:val="006B6CC7"/>
    <w:rsid w:val="006B7478"/>
    <w:rsid w:val="006C49DB"/>
    <w:rsid w:val="006C5FFF"/>
    <w:rsid w:val="006D54CF"/>
    <w:rsid w:val="006E3790"/>
    <w:rsid w:val="006E3A61"/>
    <w:rsid w:val="006E6724"/>
    <w:rsid w:val="006E6A20"/>
    <w:rsid w:val="0070008E"/>
    <w:rsid w:val="0070035A"/>
    <w:rsid w:val="0070547F"/>
    <w:rsid w:val="00706868"/>
    <w:rsid w:val="00710280"/>
    <w:rsid w:val="00715BBB"/>
    <w:rsid w:val="00720F29"/>
    <w:rsid w:val="0072269E"/>
    <w:rsid w:val="00731C5F"/>
    <w:rsid w:val="00747CE2"/>
    <w:rsid w:val="00750181"/>
    <w:rsid w:val="00750C5B"/>
    <w:rsid w:val="007546E1"/>
    <w:rsid w:val="00761040"/>
    <w:rsid w:val="00761D60"/>
    <w:rsid w:val="007623F9"/>
    <w:rsid w:val="00763C96"/>
    <w:rsid w:val="00765378"/>
    <w:rsid w:val="00773069"/>
    <w:rsid w:val="00773536"/>
    <w:rsid w:val="00781148"/>
    <w:rsid w:val="00787F0D"/>
    <w:rsid w:val="00797695"/>
    <w:rsid w:val="007A0082"/>
    <w:rsid w:val="007A0CED"/>
    <w:rsid w:val="007A1361"/>
    <w:rsid w:val="007A2C20"/>
    <w:rsid w:val="007A5D95"/>
    <w:rsid w:val="007A74B1"/>
    <w:rsid w:val="007B0AFA"/>
    <w:rsid w:val="007B1E8E"/>
    <w:rsid w:val="007B59D1"/>
    <w:rsid w:val="007B679F"/>
    <w:rsid w:val="007C1C1A"/>
    <w:rsid w:val="007C286C"/>
    <w:rsid w:val="007C3B5E"/>
    <w:rsid w:val="007E3CDF"/>
    <w:rsid w:val="007E50C2"/>
    <w:rsid w:val="007E5ED7"/>
    <w:rsid w:val="00801C70"/>
    <w:rsid w:val="00807311"/>
    <w:rsid w:val="00810D81"/>
    <w:rsid w:val="0081336C"/>
    <w:rsid w:val="00815B32"/>
    <w:rsid w:val="0081638E"/>
    <w:rsid w:val="00817519"/>
    <w:rsid w:val="00822154"/>
    <w:rsid w:val="0082306D"/>
    <w:rsid w:val="008236B4"/>
    <w:rsid w:val="00824B8D"/>
    <w:rsid w:val="00825CE9"/>
    <w:rsid w:val="00833581"/>
    <w:rsid w:val="00834898"/>
    <w:rsid w:val="00836F8E"/>
    <w:rsid w:val="00841381"/>
    <w:rsid w:val="00843A81"/>
    <w:rsid w:val="00843DB9"/>
    <w:rsid w:val="00853C2E"/>
    <w:rsid w:val="00853F4A"/>
    <w:rsid w:val="00854BFA"/>
    <w:rsid w:val="00857735"/>
    <w:rsid w:val="00857C81"/>
    <w:rsid w:val="00861B43"/>
    <w:rsid w:val="00861C2E"/>
    <w:rsid w:val="00867F26"/>
    <w:rsid w:val="008742C9"/>
    <w:rsid w:val="008756C2"/>
    <w:rsid w:val="008764B5"/>
    <w:rsid w:val="008767A2"/>
    <w:rsid w:val="00882FCB"/>
    <w:rsid w:val="00885750"/>
    <w:rsid w:val="008861A5"/>
    <w:rsid w:val="00890CD3"/>
    <w:rsid w:val="0089190E"/>
    <w:rsid w:val="008920AC"/>
    <w:rsid w:val="00894DEA"/>
    <w:rsid w:val="008A4224"/>
    <w:rsid w:val="008B0BEA"/>
    <w:rsid w:val="008B155B"/>
    <w:rsid w:val="008B2B6D"/>
    <w:rsid w:val="008B71B4"/>
    <w:rsid w:val="008C0114"/>
    <w:rsid w:val="008C5AB0"/>
    <w:rsid w:val="008C7CF6"/>
    <w:rsid w:val="008C7DC2"/>
    <w:rsid w:val="008D27B6"/>
    <w:rsid w:val="008D2C81"/>
    <w:rsid w:val="008D39F2"/>
    <w:rsid w:val="008D7CD6"/>
    <w:rsid w:val="008E048D"/>
    <w:rsid w:val="008E54AD"/>
    <w:rsid w:val="008E730B"/>
    <w:rsid w:val="008F077C"/>
    <w:rsid w:val="008F1B68"/>
    <w:rsid w:val="008F1BBD"/>
    <w:rsid w:val="008F4303"/>
    <w:rsid w:val="00902BD1"/>
    <w:rsid w:val="00907542"/>
    <w:rsid w:val="00910200"/>
    <w:rsid w:val="009164C2"/>
    <w:rsid w:val="00925414"/>
    <w:rsid w:val="00926099"/>
    <w:rsid w:val="00926103"/>
    <w:rsid w:val="00927308"/>
    <w:rsid w:val="00932B40"/>
    <w:rsid w:val="00932CB7"/>
    <w:rsid w:val="00942998"/>
    <w:rsid w:val="009436E0"/>
    <w:rsid w:val="0094507D"/>
    <w:rsid w:val="009466A0"/>
    <w:rsid w:val="00950D36"/>
    <w:rsid w:val="0095341D"/>
    <w:rsid w:val="00955E63"/>
    <w:rsid w:val="00956D9A"/>
    <w:rsid w:val="0096266D"/>
    <w:rsid w:val="00966C53"/>
    <w:rsid w:val="0097553E"/>
    <w:rsid w:val="00975DEA"/>
    <w:rsid w:val="00977BE7"/>
    <w:rsid w:val="00980677"/>
    <w:rsid w:val="00980C09"/>
    <w:rsid w:val="00981941"/>
    <w:rsid w:val="00983A48"/>
    <w:rsid w:val="00995CAC"/>
    <w:rsid w:val="009A0E87"/>
    <w:rsid w:val="009A1EB0"/>
    <w:rsid w:val="009A3526"/>
    <w:rsid w:val="009A4EA0"/>
    <w:rsid w:val="009A6F8A"/>
    <w:rsid w:val="009B5E31"/>
    <w:rsid w:val="009B741B"/>
    <w:rsid w:val="009C2675"/>
    <w:rsid w:val="009C45C0"/>
    <w:rsid w:val="009C6314"/>
    <w:rsid w:val="009C6E19"/>
    <w:rsid w:val="009C7B80"/>
    <w:rsid w:val="009D3220"/>
    <w:rsid w:val="009D3CF7"/>
    <w:rsid w:val="009E06CC"/>
    <w:rsid w:val="009E4D15"/>
    <w:rsid w:val="009E6171"/>
    <w:rsid w:val="009F01EA"/>
    <w:rsid w:val="009F1332"/>
    <w:rsid w:val="009F315E"/>
    <w:rsid w:val="009F46C2"/>
    <w:rsid w:val="009F7DB9"/>
    <w:rsid w:val="009F7E1C"/>
    <w:rsid w:val="00A05766"/>
    <w:rsid w:val="00A1647D"/>
    <w:rsid w:val="00A17A0D"/>
    <w:rsid w:val="00A20F38"/>
    <w:rsid w:val="00A25658"/>
    <w:rsid w:val="00A26A8F"/>
    <w:rsid w:val="00A328F3"/>
    <w:rsid w:val="00A373DD"/>
    <w:rsid w:val="00A41710"/>
    <w:rsid w:val="00A41AA5"/>
    <w:rsid w:val="00A50B4D"/>
    <w:rsid w:val="00A52AAA"/>
    <w:rsid w:val="00A52E71"/>
    <w:rsid w:val="00A54B87"/>
    <w:rsid w:val="00A56426"/>
    <w:rsid w:val="00A574BF"/>
    <w:rsid w:val="00A640F6"/>
    <w:rsid w:val="00A645A2"/>
    <w:rsid w:val="00A7208B"/>
    <w:rsid w:val="00A73C99"/>
    <w:rsid w:val="00A93B6A"/>
    <w:rsid w:val="00A9636B"/>
    <w:rsid w:val="00A966D6"/>
    <w:rsid w:val="00AA5C1C"/>
    <w:rsid w:val="00AB110E"/>
    <w:rsid w:val="00AB24A2"/>
    <w:rsid w:val="00AB278E"/>
    <w:rsid w:val="00AB6539"/>
    <w:rsid w:val="00AC710B"/>
    <w:rsid w:val="00AE0F5B"/>
    <w:rsid w:val="00AE3488"/>
    <w:rsid w:val="00AF11D7"/>
    <w:rsid w:val="00AF223E"/>
    <w:rsid w:val="00AF2733"/>
    <w:rsid w:val="00AF313A"/>
    <w:rsid w:val="00B03429"/>
    <w:rsid w:val="00B05CD9"/>
    <w:rsid w:val="00B05D48"/>
    <w:rsid w:val="00B116AF"/>
    <w:rsid w:val="00B166B3"/>
    <w:rsid w:val="00B2389C"/>
    <w:rsid w:val="00B2420B"/>
    <w:rsid w:val="00B25727"/>
    <w:rsid w:val="00B27FC4"/>
    <w:rsid w:val="00B3034E"/>
    <w:rsid w:val="00B30B05"/>
    <w:rsid w:val="00B310D1"/>
    <w:rsid w:val="00B32AEE"/>
    <w:rsid w:val="00B34B96"/>
    <w:rsid w:val="00B43DBC"/>
    <w:rsid w:val="00B5158D"/>
    <w:rsid w:val="00B52382"/>
    <w:rsid w:val="00B628EE"/>
    <w:rsid w:val="00B72312"/>
    <w:rsid w:val="00B75AC2"/>
    <w:rsid w:val="00B8069B"/>
    <w:rsid w:val="00B86D0C"/>
    <w:rsid w:val="00B87468"/>
    <w:rsid w:val="00B950D2"/>
    <w:rsid w:val="00B961D7"/>
    <w:rsid w:val="00B963D0"/>
    <w:rsid w:val="00BA01EB"/>
    <w:rsid w:val="00BA4D8D"/>
    <w:rsid w:val="00BB1160"/>
    <w:rsid w:val="00BB39D9"/>
    <w:rsid w:val="00BB6209"/>
    <w:rsid w:val="00BC2220"/>
    <w:rsid w:val="00BC2B93"/>
    <w:rsid w:val="00BC45B7"/>
    <w:rsid w:val="00BC46BE"/>
    <w:rsid w:val="00BD4507"/>
    <w:rsid w:val="00BD6F76"/>
    <w:rsid w:val="00BE22AA"/>
    <w:rsid w:val="00BE6720"/>
    <w:rsid w:val="00BF0CA1"/>
    <w:rsid w:val="00BF2547"/>
    <w:rsid w:val="00BF5E11"/>
    <w:rsid w:val="00BF7FDF"/>
    <w:rsid w:val="00C01CA2"/>
    <w:rsid w:val="00C05B5B"/>
    <w:rsid w:val="00C06B0E"/>
    <w:rsid w:val="00C11876"/>
    <w:rsid w:val="00C145C5"/>
    <w:rsid w:val="00C25857"/>
    <w:rsid w:val="00C4474E"/>
    <w:rsid w:val="00C50A8F"/>
    <w:rsid w:val="00C536C9"/>
    <w:rsid w:val="00C54617"/>
    <w:rsid w:val="00C605EA"/>
    <w:rsid w:val="00C60787"/>
    <w:rsid w:val="00C61314"/>
    <w:rsid w:val="00C7314E"/>
    <w:rsid w:val="00C76422"/>
    <w:rsid w:val="00C767B0"/>
    <w:rsid w:val="00C81AA7"/>
    <w:rsid w:val="00C83097"/>
    <w:rsid w:val="00C91CCE"/>
    <w:rsid w:val="00C9394A"/>
    <w:rsid w:val="00C943A5"/>
    <w:rsid w:val="00C952AF"/>
    <w:rsid w:val="00CA0905"/>
    <w:rsid w:val="00CB1A27"/>
    <w:rsid w:val="00CC0837"/>
    <w:rsid w:val="00CC10ED"/>
    <w:rsid w:val="00CC188B"/>
    <w:rsid w:val="00CC20DB"/>
    <w:rsid w:val="00CC5DF6"/>
    <w:rsid w:val="00CC69CF"/>
    <w:rsid w:val="00CD49D4"/>
    <w:rsid w:val="00CF74FF"/>
    <w:rsid w:val="00CF7C6A"/>
    <w:rsid w:val="00D02D48"/>
    <w:rsid w:val="00D03B64"/>
    <w:rsid w:val="00D04D6F"/>
    <w:rsid w:val="00D076F3"/>
    <w:rsid w:val="00D12D3F"/>
    <w:rsid w:val="00D14253"/>
    <w:rsid w:val="00D158E9"/>
    <w:rsid w:val="00D21BC9"/>
    <w:rsid w:val="00D24F22"/>
    <w:rsid w:val="00D260E9"/>
    <w:rsid w:val="00D27B5C"/>
    <w:rsid w:val="00D32B3E"/>
    <w:rsid w:val="00D3343D"/>
    <w:rsid w:val="00D3571D"/>
    <w:rsid w:val="00D36245"/>
    <w:rsid w:val="00D44426"/>
    <w:rsid w:val="00D44823"/>
    <w:rsid w:val="00D4601D"/>
    <w:rsid w:val="00D63AB2"/>
    <w:rsid w:val="00D64482"/>
    <w:rsid w:val="00D64574"/>
    <w:rsid w:val="00D716B3"/>
    <w:rsid w:val="00D76407"/>
    <w:rsid w:val="00D7641E"/>
    <w:rsid w:val="00D76B10"/>
    <w:rsid w:val="00D8655C"/>
    <w:rsid w:val="00D90EF8"/>
    <w:rsid w:val="00D91F81"/>
    <w:rsid w:val="00D92B75"/>
    <w:rsid w:val="00D96635"/>
    <w:rsid w:val="00D970E4"/>
    <w:rsid w:val="00DA2D0A"/>
    <w:rsid w:val="00DA3E4E"/>
    <w:rsid w:val="00DA4356"/>
    <w:rsid w:val="00DA4719"/>
    <w:rsid w:val="00DA6D43"/>
    <w:rsid w:val="00DB0F1B"/>
    <w:rsid w:val="00DB1EAA"/>
    <w:rsid w:val="00DB45BA"/>
    <w:rsid w:val="00DB5EEF"/>
    <w:rsid w:val="00DC304A"/>
    <w:rsid w:val="00DC55EB"/>
    <w:rsid w:val="00DC6709"/>
    <w:rsid w:val="00DD4924"/>
    <w:rsid w:val="00DD5829"/>
    <w:rsid w:val="00DE1F66"/>
    <w:rsid w:val="00DE6285"/>
    <w:rsid w:val="00DF0F97"/>
    <w:rsid w:val="00DF1DDF"/>
    <w:rsid w:val="00DF2519"/>
    <w:rsid w:val="00DF3C14"/>
    <w:rsid w:val="00E0449F"/>
    <w:rsid w:val="00E10601"/>
    <w:rsid w:val="00E10F98"/>
    <w:rsid w:val="00E11355"/>
    <w:rsid w:val="00E1195B"/>
    <w:rsid w:val="00E13675"/>
    <w:rsid w:val="00E13BED"/>
    <w:rsid w:val="00E14B59"/>
    <w:rsid w:val="00E151DB"/>
    <w:rsid w:val="00E32CA6"/>
    <w:rsid w:val="00E375F1"/>
    <w:rsid w:val="00E376BD"/>
    <w:rsid w:val="00E42A78"/>
    <w:rsid w:val="00E45460"/>
    <w:rsid w:val="00E56D8C"/>
    <w:rsid w:val="00E6057E"/>
    <w:rsid w:val="00E640EF"/>
    <w:rsid w:val="00E675C5"/>
    <w:rsid w:val="00E71ADB"/>
    <w:rsid w:val="00E743C6"/>
    <w:rsid w:val="00E74739"/>
    <w:rsid w:val="00E76FE8"/>
    <w:rsid w:val="00E82A31"/>
    <w:rsid w:val="00E845CF"/>
    <w:rsid w:val="00E909F9"/>
    <w:rsid w:val="00E91772"/>
    <w:rsid w:val="00E93F97"/>
    <w:rsid w:val="00E9600E"/>
    <w:rsid w:val="00EA39E2"/>
    <w:rsid w:val="00EA5483"/>
    <w:rsid w:val="00EA5DFA"/>
    <w:rsid w:val="00EA7C7E"/>
    <w:rsid w:val="00EB11D6"/>
    <w:rsid w:val="00EB6111"/>
    <w:rsid w:val="00EC1563"/>
    <w:rsid w:val="00EC7CF2"/>
    <w:rsid w:val="00ED086E"/>
    <w:rsid w:val="00ED4D55"/>
    <w:rsid w:val="00ED788C"/>
    <w:rsid w:val="00EE4391"/>
    <w:rsid w:val="00EE4604"/>
    <w:rsid w:val="00EF254D"/>
    <w:rsid w:val="00EF4233"/>
    <w:rsid w:val="00EF7ED2"/>
    <w:rsid w:val="00F00E57"/>
    <w:rsid w:val="00F03D39"/>
    <w:rsid w:val="00F06E89"/>
    <w:rsid w:val="00F0730E"/>
    <w:rsid w:val="00F10FD4"/>
    <w:rsid w:val="00F15113"/>
    <w:rsid w:val="00F17A4D"/>
    <w:rsid w:val="00F24D52"/>
    <w:rsid w:val="00F34988"/>
    <w:rsid w:val="00F3663C"/>
    <w:rsid w:val="00F403AB"/>
    <w:rsid w:val="00F423C5"/>
    <w:rsid w:val="00F42A65"/>
    <w:rsid w:val="00F45079"/>
    <w:rsid w:val="00F45C5A"/>
    <w:rsid w:val="00F46A83"/>
    <w:rsid w:val="00F51FFC"/>
    <w:rsid w:val="00F5395E"/>
    <w:rsid w:val="00F66A0E"/>
    <w:rsid w:val="00F72967"/>
    <w:rsid w:val="00F73A73"/>
    <w:rsid w:val="00F93269"/>
    <w:rsid w:val="00F93A2E"/>
    <w:rsid w:val="00F95E09"/>
    <w:rsid w:val="00FA30DA"/>
    <w:rsid w:val="00FA40B3"/>
    <w:rsid w:val="00FA51B0"/>
    <w:rsid w:val="00FA56FE"/>
    <w:rsid w:val="00FB1381"/>
    <w:rsid w:val="00FB561C"/>
    <w:rsid w:val="00FB6874"/>
    <w:rsid w:val="00FC3937"/>
    <w:rsid w:val="00FC7D4B"/>
    <w:rsid w:val="00FE3A32"/>
    <w:rsid w:val="00FE42DA"/>
    <w:rsid w:val="00FE5A82"/>
    <w:rsid w:val="00FE6AB0"/>
    <w:rsid w:val="00FF0A47"/>
    <w:rsid w:val="00FF4E94"/>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comunicacion.manpowergroup@havas.com" TargetMode="External" Type="http://schemas.openxmlformats.org/officeDocument/2006/relationships/hyperlink"/>
<Relationship Id="rId11" Target="mailto:gala.diaz@manpowergroup.es" TargetMode="External" Type="http://schemas.openxmlformats.org/officeDocument/2006/relationships/hyperlink"/>
<Relationship Id="rId12" Target="mailto:juan.gomez@manpowergroup.es"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manpowergroup.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 Id="rId2" Target="media/image3.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767</Words>
  <Characters>4221</Characters>
  <Application/>
  <DocSecurity>0</DocSecurity>
  <Lines>35</Lines>
  <Paragraphs>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4979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