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8C8E" w14:textId="060032AA" w:rsidR="00D076F3" w:rsidRPr="00B86D0C" w:rsidRDefault="001A2A76" w:rsidP="00B86D0C">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r w:rsidRPr="00B86D0C">
        <w:rPr>
          <w:rFonts w:ascii="Arial" w:eastAsia="Arial" w:hAnsi="Arial" w:cs="Arial"/>
          <w:b/>
          <w:color w:val="000000"/>
          <w:sz w:val="20"/>
          <w:szCs w:val="20"/>
          <w:u w:val="single"/>
        </w:rPr>
        <w:t xml:space="preserve">Estudio de Proyección de Empleo de ManpowerGroup para </w:t>
      </w:r>
      <w:r w:rsidR="0031176F" w:rsidRPr="00B86D0C">
        <w:rPr>
          <w:rFonts w:ascii="Arial" w:eastAsia="Arial" w:hAnsi="Arial" w:cs="Arial"/>
          <w:b/>
          <w:color w:val="000000"/>
          <w:sz w:val="20"/>
          <w:szCs w:val="20"/>
          <w:u w:val="single"/>
        </w:rPr>
        <w:t>julio</w:t>
      </w:r>
      <w:r w:rsidR="009164C2" w:rsidRPr="00B86D0C">
        <w:rPr>
          <w:rFonts w:ascii="Arial" w:eastAsia="Arial" w:hAnsi="Arial" w:cs="Arial"/>
          <w:b/>
          <w:color w:val="000000"/>
          <w:sz w:val="20"/>
          <w:szCs w:val="20"/>
          <w:u w:val="single"/>
        </w:rPr>
        <w:t>-</w:t>
      </w:r>
      <w:r w:rsidR="0031176F" w:rsidRPr="00B86D0C">
        <w:rPr>
          <w:rFonts w:ascii="Arial" w:eastAsia="Arial" w:hAnsi="Arial" w:cs="Arial"/>
          <w:b/>
          <w:color w:val="000000"/>
          <w:sz w:val="20"/>
          <w:szCs w:val="20"/>
          <w:u w:val="single"/>
        </w:rPr>
        <w:t>septiembre</w:t>
      </w:r>
      <w:r w:rsidR="009164C2" w:rsidRPr="00B86D0C">
        <w:rPr>
          <w:rFonts w:ascii="Arial" w:eastAsia="Arial" w:hAnsi="Arial" w:cs="Arial"/>
          <w:b/>
          <w:color w:val="000000"/>
          <w:sz w:val="20"/>
          <w:szCs w:val="20"/>
          <w:u w:val="single"/>
        </w:rPr>
        <w:t xml:space="preserve"> </w:t>
      </w:r>
      <w:r w:rsidRPr="00B86D0C">
        <w:rPr>
          <w:rFonts w:ascii="Arial" w:eastAsia="Arial" w:hAnsi="Arial" w:cs="Arial"/>
          <w:b/>
          <w:color w:val="000000"/>
          <w:sz w:val="20"/>
          <w:szCs w:val="20"/>
          <w:u w:val="single"/>
        </w:rPr>
        <w:t>202</w:t>
      </w:r>
      <w:r w:rsidR="009C6E19" w:rsidRPr="00B86D0C">
        <w:rPr>
          <w:rFonts w:ascii="Arial" w:eastAsia="Arial" w:hAnsi="Arial" w:cs="Arial"/>
          <w:b/>
          <w:color w:val="000000"/>
          <w:sz w:val="20"/>
          <w:szCs w:val="20"/>
          <w:u w:val="single"/>
        </w:rPr>
        <w:t>6</w:t>
      </w:r>
    </w:p>
    <w:p w14:paraId="498CA09A" w14:textId="6FA3076C" w:rsidR="00995CAC" w:rsidRPr="00B86D0C" w:rsidRDefault="00F41FEF" w:rsidP="00F41FEF">
      <w:pPr>
        <w:spacing w:before="120" w:line="288" w:lineRule="auto"/>
        <w:jc w:val="center"/>
        <w:rPr>
          <w:rFonts w:ascii="Arial" w:eastAsia="Arial" w:hAnsi="Arial" w:cs="Arial"/>
          <w:b/>
          <w:bCs/>
          <w:sz w:val="36"/>
          <w:szCs w:val="36"/>
        </w:rPr>
      </w:pPr>
      <w:bookmarkStart w:id="0" w:name="_Hlk113557077"/>
      <w:bookmarkStart w:id="1" w:name="_Hlk90223537"/>
      <w:bookmarkStart w:id="2" w:name="_Hlk89449303"/>
      <w:bookmarkStart w:id="3" w:name="_Hlk89449332"/>
      <w:bookmarkStart w:id="4" w:name="_Hlk215568333"/>
      <w:r w:rsidRPr="00F41FEF">
        <w:rPr>
          <w:rFonts w:ascii="Arial" w:eastAsia="Arial" w:hAnsi="Arial" w:cs="Arial"/>
          <w:b/>
          <w:bCs/>
          <w:sz w:val="36"/>
          <w:szCs w:val="36"/>
        </w:rPr>
        <w:t>Logística y comercio mantiene expectativas positivas</w:t>
      </w:r>
      <w:r>
        <w:rPr>
          <w:rFonts w:ascii="Arial" w:eastAsia="Arial" w:hAnsi="Arial" w:cs="Arial"/>
          <w:b/>
          <w:bCs/>
          <w:sz w:val="36"/>
          <w:szCs w:val="36"/>
        </w:rPr>
        <w:t xml:space="preserve"> sobre su capacidad de generar empleo pese a la moderación del mercado</w:t>
      </w:r>
    </w:p>
    <w:p w14:paraId="3E9DCDB2" w14:textId="77777777" w:rsidR="00995CAC" w:rsidRPr="00B86D0C" w:rsidRDefault="00995CAC" w:rsidP="00B310D1">
      <w:pPr>
        <w:spacing w:before="120" w:line="288" w:lineRule="auto"/>
        <w:jc w:val="both"/>
        <w:rPr>
          <w:rFonts w:ascii="Arial" w:eastAsia="Arial" w:hAnsi="Arial" w:cs="Arial"/>
          <w:b/>
          <w:sz w:val="23"/>
          <w:szCs w:val="23"/>
        </w:rPr>
      </w:pPr>
    </w:p>
    <w:p w14:paraId="61AC7B5D" w14:textId="0A3041E2" w:rsidR="0031176F" w:rsidRPr="00B310D1" w:rsidRDefault="00F41FEF" w:rsidP="00B310D1">
      <w:pPr>
        <w:pStyle w:val="Prrafodelista"/>
        <w:numPr>
          <w:ilvl w:val="0"/>
          <w:numId w:val="9"/>
        </w:numPr>
        <w:spacing w:before="120" w:line="288" w:lineRule="auto"/>
        <w:contextualSpacing w:val="0"/>
        <w:jc w:val="both"/>
        <w:rPr>
          <w:rFonts w:ascii="Arial" w:eastAsia="Arial" w:hAnsi="Arial" w:cs="Arial"/>
          <w:b/>
        </w:rPr>
      </w:pPr>
      <w:r w:rsidRPr="00F41FEF">
        <w:rPr>
          <w:rFonts w:ascii="Arial" w:eastAsia="Arial" w:hAnsi="Arial" w:cs="Arial"/>
          <w:b/>
        </w:rPr>
        <w:t>Logística y comercio alcanza una perspectiva neta de generación de empleo del 14% para el periodo comprendido entre julio y septiembre</w:t>
      </w:r>
      <w:r w:rsidR="002B1165" w:rsidRPr="00B310D1">
        <w:rPr>
          <w:rFonts w:ascii="Arial" w:eastAsia="Arial" w:hAnsi="Arial" w:cs="Arial"/>
          <w:b/>
        </w:rPr>
        <w:t>.</w:t>
      </w:r>
    </w:p>
    <w:p w14:paraId="7EEBDE9B" w14:textId="3E293B7A" w:rsidR="00620D22" w:rsidRPr="00066E6C" w:rsidRDefault="00AF25AC" w:rsidP="0048305C">
      <w:pPr>
        <w:pStyle w:val="Prrafodelista"/>
        <w:numPr>
          <w:ilvl w:val="0"/>
          <w:numId w:val="9"/>
        </w:numPr>
        <w:spacing w:before="120" w:line="288" w:lineRule="auto"/>
        <w:contextualSpacing w:val="0"/>
        <w:jc w:val="both"/>
        <w:rPr>
          <w:rFonts w:ascii="Arial" w:eastAsia="Arial" w:hAnsi="Arial" w:cs="Arial"/>
          <w:b/>
        </w:rPr>
      </w:pPr>
      <w:r w:rsidRPr="00066E6C">
        <w:rPr>
          <w:rFonts w:ascii="Arial" w:eastAsia="Arial" w:hAnsi="Arial" w:cs="Arial"/>
          <w:b/>
        </w:rPr>
        <w:t>El sector se sitúa en la séptima posición del ranking de contratación, por delante de Servicios Profesionales, Científicos y Técnicos (12%), Sanidad y Sector Público (11%) e Industria (10%)</w:t>
      </w:r>
      <w:r w:rsidR="00066E6C" w:rsidRPr="00066E6C">
        <w:rPr>
          <w:rFonts w:ascii="Arial" w:eastAsia="Arial" w:hAnsi="Arial" w:cs="Arial"/>
          <w:b/>
        </w:rPr>
        <w:t>.</w:t>
      </w:r>
    </w:p>
    <w:p w14:paraId="7CA61BAA" w14:textId="69EBAAD9" w:rsidR="00B72312" w:rsidRPr="00B86D0C" w:rsidRDefault="00332E95" w:rsidP="00B310D1">
      <w:pPr>
        <w:spacing w:before="120" w:line="288" w:lineRule="auto"/>
        <w:jc w:val="center"/>
        <w:rPr>
          <w:rFonts w:ascii="Arial" w:eastAsia="Arial" w:hAnsi="Arial" w:cs="Arial"/>
          <w:b/>
          <w:sz w:val="23"/>
          <w:szCs w:val="23"/>
        </w:rPr>
      </w:pPr>
      <w:r w:rsidRPr="00332E95">
        <w:rPr>
          <w:rFonts w:ascii="Arial" w:eastAsia="Arial" w:hAnsi="Arial" w:cs="Arial"/>
          <w:b/>
          <w:noProof/>
          <w:sz w:val="23"/>
          <w:szCs w:val="23"/>
        </w:rPr>
        <w:drawing>
          <wp:inline distT="0" distB="0" distL="0" distR="0" wp14:anchorId="11062FF6" wp14:editId="68498F5A">
            <wp:extent cx="3806014" cy="3060000"/>
            <wp:effectExtent l="0" t="0" r="4445" b="7620"/>
            <wp:docPr id="1541333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33729" name=""/>
                    <pic:cNvPicPr/>
                  </pic:nvPicPr>
                  <pic:blipFill>
                    <a:blip r:embed="rId8"/>
                    <a:stretch>
                      <a:fillRect/>
                    </a:stretch>
                  </pic:blipFill>
                  <pic:spPr>
                    <a:xfrm>
                      <a:off x="0" y="0"/>
                      <a:ext cx="3806014" cy="3060000"/>
                    </a:xfrm>
                    <a:prstGeom prst="rect">
                      <a:avLst/>
                    </a:prstGeom>
                  </pic:spPr>
                </pic:pic>
              </a:graphicData>
            </a:graphic>
          </wp:inline>
        </w:drawing>
      </w:r>
    </w:p>
    <w:p w14:paraId="628A5E67" w14:textId="77777777" w:rsidR="00B310D1" w:rsidRDefault="00B310D1" w:rsidP="00B310D1">
      <w:pPr>
        <w:spacing w:before="120" w:line="288" w:lineRule="auto"/>
        <w:jc w:val="both"/>
        <w:rPr>
          <w:rFonts w:ascii="Arial" w:eastAsia="Times New Roman" w:hAnsi="Arial" w:cs="Arial"/>
          <w:b/>
          <w:bCs/>
          <w:sz w:val="22"/>
          <w:szCs w:val="22"/>
        </w:rPr>
      </w:pPr>
      <w:bookmarkStart w:id="5" w:name="_Hlk113557102"/>
      <w:bookmarkStart w:id="6" w:name="_Hlk137140302"/>
      <w:bookmarkEnd w:id="0"/>
    </w:p>
    <w:p w14:paraId="68C477F4" w14:textId="0C374A31" w:rsidR="00F41FEF" w:rsidRPr="00F41FEF" w:rsidRDefault="00B86D0C" w:rsidP="00F41FEF">
      <w:pPr>
        <w:spacing w:before="120" w:line="288" w:lineRule="auto"/>
        <w:jc w:val="both"/>
        <w:rPr>
          <w:rFonts w:ascii="Arial" w:eastAsia="Times New Roman" w:hAnsi="Arial" w:cs="Arial"/>
          <w:sz w:val="22"/>
          <w:szCs w:val="22"/>
        </w:rPr>
      </w:pPr>
      <w:r w:rsidRPr="00B310D1">
        <w:rPr>
          <w:rFonts w:ascii="Arial" w:eastAsia="Times New Roman" w:hAnsi="Arial" w:cs="Arial"/>
          <w:b/>
          <w:bCs/>
          <w:sz w:val="22"/>
          <w:szCs w:val="22"/>
        </w:rPr>
        <w:t>Madrid, 30 de junio de 2026.-</w:t>
      </w:r>
      <w:r w:rsidRPr="00B310D1">
        <w:rPr>
          <w:rFonts w:ascii="Arial" w:eastAsia="Times New Roman" w:hAnsi="Arial" w:cs="Arial"/>
          <w:sz w:val="22"/>
          <w:szCs w:val="22"/>
        </w:rPr>
        <w:t xml:space="preserve"> El </w:t>
      </w:r>
      <w:r w:rsidR="00F41FEF" w:rsidRPr="00F41FEF">
        <w:rPr>
          <w:rFonts w:ascii="Arial" w:eastAsia="Times New Roman" w:hAnsi="Arial" w:cs="Arial"/>
          <w:sz w:val="22"/>
          <w:szCs w:val="22"/>
        </w:rPr>
        <w:t xml:space="preserve">sector de </w:t>
      </w:r>
      <w:r w:rsidR="00F41FEF" w:rsidRPr="00684D56">
        <w:rPr>
          <w:rFonts w:ascii="Arial" w:eastAsia="Times New Roman" w:hAnsi="Arial" w:cs="Arial"/>
          <w:b/>
          <w:bCs/>
          <w:sz w:val="22"/>
          <w:szCs w:val="22"/>
        </w:rPr>
        <w:t>Logística y comercio registra una expectativa neta de generación de empleo del 14% para el tercer trimestre de 2026</w:t>
      </w:r>
      <w:r w:rsidR="00F41FEF" w:rsidRPr="00F41FEF">
        <w:rPr>
          <w:rFonts w:ascii="Arial" w:eastAsia="Times New Roman" w:hAnsi="Arial" w:cs="Arial"/>
          <w:sz w:val="22"/>
          <w:szCs w:val="22"/>
        </w:rPr>
        <w:t>, de acuerdo con los datos del Estudio de Proyección de Empleo de ManpowerGroup. Esta previsión sitúa al sector entre las actividades con perspectivas favorables de contratación para los próximos meses.</w:t>
      </w:r>
    </w:p>
    <w:p w14:paraId="543AAB79" w14:textId="77777777" w:rsidR="00F41FEF" w:rsidRPr="00F41FEF" w:rsidRDefault="00F41FEF" w:rsidP="00F41FEF">
      <w:pPr>
        <w:spacing w:before="120" w:line="288" w:lineRule="auto"/>
        <w:jc w:val="both"/>
        <w:rPr>
          <w:rFonts w:ascii="Arial" w:eastAsia="Times New Roman" w:hAnsi="Arial" w:cs="Arial"/>
          <w:sz w:val="22"/>
          <w:szCs w:val="22"/>
        </w:rPr>
      </w:pPr>
      <w:r w:rsidRPr="00F41FEF">
        <w:rPr>
          <w:rFonts w:ascii="Arial" w:eastAsia="Times New Roman" w:hAnsi="Arial" w:cs="Arial"/>
          <w:sz w:val="22"/>
          <w:szCs w:val="22"/>
        </w:rPr>
        <w:t xml:space="preserve">A pesar de la moderación registrada respecto al trimestre anterior, las compañías de Logística y comercio continúan mostrando una intención de contratación sostenida. Con una previsión del 14%, el sector se posiciona en la zona media-alta del ranking sectorial, manteniéndose </w:t>
      </w:r>
      <w:r w:rsidRPr="00F41FEF">
        <w:rPr>
          <w:rFonts w:ascii="Arial" w:eastAsia="Times New Roman" w:hAnsi="Arial" w:cs="Arial"/>
          <w:sz w:val="22"/>
          <w:szCs w:val="22"/>
        </w:rPr>
        <w:lastRenderedPageBreak/>
        <w:t>como un ámbito clave para la actividad económica y el funcionamiento de las cadenas de suministro.</w:t>
      </w:r>
    </w:p>
    <w:p w14:paraId="69D12702" w14:textId="77777777" w:rsidR="00F41FEF" w:rsidRPr="00F41FEF" w:rsidRDefault="00F41FEF" w:rsidP="00F41FEF">
      <w:pPr>
        <w:spacing w:before="120" w:line="288" w:lineRule="auto"/>
        <w:jc w:val="both"/>
        <w:rPr>
          <w:rFonts w:ascii="Arial" w:eastAsia="Times New Roman" w:hAnsi="Arial" w:cs="Arial"/>
          <w:sz w:val="22"/>
          <w:szCs w:val="22"/>
        </w:rPr>
      </w:pPr>
      <w:r w:rsidRPr="00F41FEF">
        <w:rPr>
          <w:rFonts w:ascii="Arial" w:eastAsia="Times New Roman" w:hAnsi="Arial" w:cs="Arial"/>
          <w:sz w:val="22"/>
          <w:szCs w:val="22"/>
        </w:rPr>
        <w:t>Aunque la expectativa de empleo experimenta una caída respecto al trimestre previo, el sector mantiene una evolución positiva y estable. La demanda de talento continúa siendo relevante en un entorno marcado por la transformación de los modelos de distribución, el auge del comercio electrónico y la optimización de las operaciones logísticas.</w:t>
      </w:r>
    </w:p>
    <w:p w14:paraId="3DBC6477" w14:textId="050D8A53" w:rsidR="00F41FEF" w:rsidRPr="00F41FEF" w:rsidRDefault="00F41FEF" w:rsidP="00F41FEF">
      <w:pPr>
        <w:spacing w:before="120" w:line="288" w:lineRule="auto"/>
        <w:jc w:val="both"/>
        <w:rPr>
          <w:rFonts w:ascii="Arial" w:eastAsia="Times New Roman" w:hAnsi="Arial" w:cs="Arial"/>
          <w:sz w:val="22"/>
          <w:szCs w:val="22"/>
        </w:rPr>
      </w:pPr>
      <w:r w:rsidRPr="00F41FEF">
        <w:rPr>
          <w:rFonts w:ascii="Arial" w:eastAsia="Times New Roman" w:hAnsi="Arial" w:cs="Arial"/>
          <w:sz w:val="22"/>
          <w:szCs w:val="22"/>
        </w:rPr>
        <w:t xml:space="preserve">Tras Telecomunicaciones, </w:t>
      </w:r>
      <w:r>
        <w:rPr>
          <w:rFonts w:ascii="Arial" w:eastAsia="Times New Roman" w:hAnsi="Arial" w:cs="Arial"/>
          <w:sz w:val="22"/>
          <w:szCs w:val="22"/>
        </w:rPr>
        <w:t>m</w:t>
      </w:r>
      <w:r w:rsidRPr="00F41FEF">
        <w:rPr>
          <w:rFonts w:ascii="Arial" w:eastAsia="Times New Roman" w:hAnsi="Arial" w:cs="Arial"/>
          <w:sz w:val="22"/>
          <w:szCs w:val="22"/>
        </w:rPr>
        <w:t xml:space="preserve">edios y </w:t>
      </w:r>
      <w:r>
        <w:rPr>
          <w:rFonts w:ascii="Arial" w:eastAsia="Times New Roman" w:hAnsi="Arial" w:cs="Arial"/>
          <w:sz w:val="22"/>
          <w:szCs w:val="22"/>
        </w:rPr>
        <w:t>e</w:t>
      </w:r>
      <w:r w:rsidRPr="00F41FEF">
        <w:rPr>
          <w:rFonts w:ascii="Arial" w:eastAsia="Times New Roman" w:hAnsi="Arial" w:cs="Arial"/>
          <w:sz w:val="22"/>
          <w:szCs w:val="22"/>
        </w:rPr>
        <w:t xml:space="preserve">ntretenimiento (33%), los sectores con mejores previsiones de contratación son Energía y suministros y Tecnología (20%), seguidos de Hostelería (18%), Finanzas y seguros (16%) y Construcción e inmobiliario (15%). A continuación, </w:t>
      </w:r>
      <w:r w:rsidR="008B54C7">
        <w:rPr>
          <w:rFonts w:ascii="Arial" w:eastAsia="Times New Roman" w:hAnsi="Arial" w:cs="Arial"/>
          <w:sz w:val="22"/>
          <w:szCs w:val="22"/>
        </w:rPr>
        <w:t xml:space="preserve">tras </w:t>
      </w:r>
      <w:r w:rsidRPr="00F41FEF">
        <w:rPr>
          <w:rFonts w:ascii="Arial" w:eastAsia="Times New Roman" w:hAnsi="Arial" w:cs="Arial"/>
          <w:sz w:val="22"/>
          <w:szCs w:val="22"/>
        </w:rPr>
        <w:t>Logística y comercio</w:t>
      </w:r>
      <w:r w:rsidR="008B54C7">
        <w:rPr>
          <w:rFonts w:ascii="Arial" w:eastAsia="Times New Roman" w:hAnsi="Arial" w:cs="Arial"/>
          <w:sz w:val="22"/>
          <w:szCs w:val="22"/>
        </w:rPr>
        <w:t>, aparecen Servicios profesionales (12%), Sanidad y sector público (11%) e Industria (10%)</w:t>
      </w:r>
      <w:r w:rsidRPr="00F41FEF">
        <w:rPr>
          <w:rFonts w:ascii="Arial" w:eastAsia="Times New Roman" w:hAnsi="Arial" w:cs="Arial"/>
          <w:sz w:val="22"/>
          <w:szCs w:val="22"/>
        </w:rPr>
        <w:t>.</w:t>
      </w:r>
    </w:p>
    <w:p w14:paraId="1EC902E7" w14:textId="77777777" w:rsidR="008B54C7" w:rsidRPr="008B54C7" w:rsidRDefault="008B54C7" w:rsidP="008B54C7">
      <w:pPr>
        <w:spacing w:before="120" w:line="288" w:lineRule="auto"/>
        <w:jc w:val="both"/>
        <w:rPr>
          <w:rFonts w:ascii="Arial" w:eastAsia="Times New Roman" w:hAnsi="Arial" w:cs="Arial"/>
          <w:sz w:val="22"/>
          <w:szCs w:val="22"/>
        </w:rPr>
      </w:pPr>
      <w:r w:rsidRPr="008B54C7">
        <w:rPr>
          <w:rFonts w:ascii="Arial" w:eastAsia="Times New Roman" w:hAnsi="Arial" w:cs="Arial"/>
          <w:sz w:val="22"/>
          <w:szCs w:val="22"/>
        </w:rPr>
        <w:t xml:space="preserve">En palabras de </w:t>
      </w:r>
      <w:r w:rsidRPr="008B54C7">
        <w:rPr>
          <w:rFonts w:ascii="Arial" w:eastAsia="Times New Roman" w:hAnsi="Arial" w:cs="Arial"/>
          <w:b/>
          <w:bCs/>
          <w:sz w:val="22"/>
          <w:szCs w:val="22"/>
        </w:rPr>
        <w:t>Antonio Holgado, director sectorial de Logística en ManpowerGroup</w:t>
      </w:r>
      <w:r w:rsidRPr="008B54C7">
        <w:rPr>
          <w:rFonts w:ascii="Arial" w:eastAsia="Times New Roman" w:hAnsi="Arial" w:cs="Arial"/>
          <w:sz w:val="22"/>
          <w:szCs w:val="22"/>
        </w:rPr>
        <w:t xml:space="preserve">, </w:t>
      </w:r>
      <w:r w:rsidRPr="00620D22">
        <w:rPr>
          <w:rFonts w:ascii="Arial" w:eastAsia="Times New Roman" w:hAnsi="Arial" w:cs="Arial"/>
          <w:i/>
          <w:iCs/>
          <w:sz w:val="22"/>
          <w:szCs w:val="22"/>
        </w:rPr>
        <w:t>“a pesar de oscilaciones puntuales, la actividad de Logística y comercio mantiene una capacidad constante de generación de empleo y, además, está en una búsqueda constante de nuevas capacidades, impulsada por la transformación de las cadenas de suministro y la evolución del consumo, lo que refuerza su papel como sector clave en el actual contexto económico”.</w:t>
      </w:r>
    </w:p>
    <w:p w14:paraId="14BE0F6A" w14:textId="77777777" w:rsidR="008B54C7" w:rsidRDefault="008B54C7" w:rsidP="00F41FEF">
      <w:pPr>
        <w:spacing w:before="120" w:line="288" w:lineRule="auto"/>
        <w:jc w:val="both"/>
        <w:rPr>
          <w:rFonts w:ascii="Arial" w:eastAsia="Times New Roman" w:hAnsi="Arial" w:cs="Arial"/>
          <w:b/>
          <w:bCs/>
          <w:sz w:val="22"/>
          <w:szCs w:val="22"/>
        </w:rPr>
      </w:pPr>
    </w:p>
    <w:p w14:paraId="7F670D7B" w14:textId="2081203A" w:rsidR="00F41FEF" w:rsidRPr="008B54C7" w:rsidRDefault="00F41FEF" w:rsidP="00F41FEF">
      <w:pPr>
        <w:spacing w:before="120" w:line="288" w:lineRule="auto"/>
        <w:jc w:val="both"/>
        <w:rPr>
          <w:rFonts w:ascii="Arial" w:eastAsia="Times New Roman" w:hAnsi="Arial" w:cs="Arial"/>
          <w:b/>
          <w:bCs/>
          <w:sz w:val="22"/>
          <w:szCs w:val="22"/>
        </w:rPr>
      </w:pPr>
      <w:r w:rsidRPr="008B54C7">
        <w:rPr>
          <w:rFonts w:ascii="Arial" w:eastAsia="Times New Roman" w:hAnsi="Arial" w:cs="Arial"/>
          <w:b/>
          <w:bCs/>
          <w:sz w:val="22"/>
          <w:szCs w:val="22"/>
        </w:rPr>
        <w:t>Logística y comercio, por debajo del ritmo global del sector, pero por encima del mercado nacional</w:t>
      </w:r>
    </w:p>
    <w:p w14:paraId="6D17656D" w14:textId="2F7D293C" w:rsidR="006053FB" w:rsidRDefault="00F41FEF" w:rsidP="00F41FEF">
      <w:pPr>
        <w:spacing w:before="120" w:line="288" w:lineRule="auto"/>
        <w:jc w:val="both"/>
        <w:rPr>
          <w:rFonts w:ascii="Arial" w:eastAsia="Times New Roman" w:hAnsi="Arial" w:cs="Arial"/>
          <w:sz w:val="22"/>
          <w:szCs w:val="22"/>
        </w:rPr>
      </w:pPr>
      <w:r w:rsidRPr="00F41FEF">
        <w:rPr>
          <w:rFonts w:ascii="Arial" w:eastAsia="Times New Roman" w:hAnsi="Arial" w:cs="Arial"/>
          <w:sz w:val="22"/>
          <w:szCs w:val="22"/>
        </w:rPr>
        <w:t>Aunque la previsión de generación de empleo en el sector alcanza el 23% a nivel global, en España se sitúa en el 14%, lo que refleja un menor dinamismo en el entorno nacional. No obstante, el sector presenta un comportamiento más sólido que el conjunto del mercado español, cuya expectativa neta se sitúa en el 11%, consolidando su papel como uno de los pilares de la actividad económica.</w:t>
      </w:r>
    </w:p>
    <w:p w14:paraId="5E881761" w14:textId="77777777" w:rsidR="006053FB" w:rsidRDefault="006053FB" w:rsidP="006053FB">
      <w:pPr>
        <w:spacing w:before="120" w:line="288" w:lineRule="auto"/>
        <w:jc w:val="both"/>
        <w:rPr>
          <w:rFonts w:ascii="Arial" w:eastAsia="Arial" w:hAnsi="Arial" w:cs="Arial"/>
          <w:bCs/>
          <w:sz w:val="20"/>
          <w:szCs w:val="20"/>
        </w:rPr>
      </w:pPr>
    </w:p>
    <w:bookmarkEnd w:id="1"/>
    <w:bookmarkEnd w:id="2"/>
    <w:bookmarkEnd w:id="3"/>
    <w:bookmarkEnd w:id="4"/>
    <w:bookmarkEnd w:id="5"/>
    <w:bookmarkEnd w:id="6"/>
    <w:p w14:paraId="097532EF" w14:textId="77777777" w:rsidR="00E743C6" w:rsidRPr="00B310D1" w:rsidRDefault="00E743C6" w:rsidP="00B310D1">
      <w:pPr>
        <w:spacing w:before="120" w:line="288" w:lineRule="auto"/>
        <w:jc w:val="both"/>
        <w:rPr>
          <w:rFonts w:ascii="Arial" w:hAnsi="Arial" w:cs="Arial"/>
          <w:color w:val="808080" w:themeColor="background1" w:themeShade="80"/>
          <w:sz w:val="20"/>
          <w:szCs w:val="20"/>
        </w:rPr>
      </w:pPr>
      <w:r w:rsidRPr="00B310D1">
        <w:rPr>
          <w:rFonts w:ascii="Arial" w:hAnsi="Arial" w:cs="Arial"/>
          <w:b/>
          <w:bCs/>
          <w:color w:val="808080" w:themeColor="background1" w:themeShade="80"/>
          <w:sz w:val="20"/>
          <w:szCs w:val="20"/>
        </w:rPr>
        <w:t xml:space="preserve">Sobre el Estudio de Proyección de Empleo de ManpowerGroup: </w:t>
      </w:r>
      <w:r w:rsidRPr="00B310D1">
        <w:rPr>
          <w:rFonts w:ascii="Arial" w:hAnsi="Arial" w:cs="Arial"/>
          <w:color w:val="808080" w:themeColor="background1" w:themeShade="80"/>
          <w:sz w:val="20"/>
          <w:szCs w:val="20"/>
        </w:rPr>
        <w:t>El Estudio de Proyección de Empleo de ManpowerGroup, utilizado en todo el mundo como indicador económico de referencia, es la encuesta de empleo más exhaustiva de este tipo. La Proyección de Empleo Neto se obtiene tomando el porcentaje de empresas que prevén un incremento de la contratación y restando el porcentaje de aquellas que esperan una reducción. El éxito del estudio, que se realiza desde 1962.</w:t>
      </w:r>
    </w:p>
    <w:p w14:paraId="702FA934" w14:textId="77777777" w:rsidR="00E743C6" w:rsidRPr="00B310D1" w:rsidRDefault="00E743C6" w:rsidP="00B310D1">
      <w:pPr>
        <w:spacing w:before="120" w:line="288" w:lineRule="auto"/>
        <w:jc w:val="both"/>
        <w:rPr>
          <w:rFonts w:ascii="Arial" w:hAnsi="Arial" w:cs="Arial"/>
          <w:color w:val="808080" w:themeColor="background1" w:themeShade="80"/>
          <w:sz w:val="20"/>
          <w:szCs w:val="20"/>
        </w:rPr>
      </w:pPr>
      <w:r w:rsidRPr="00B310D1">
        <w:rPr>
          <w:rFonts w:ascii="Arial" w:hAnsi="Arial" w:cs="Arial"/>
          <w:color w:val="808080" w:themeColor="background1" w:themeShade="80"/>
          <w:sz w:val="20"/>
          <w:szCs w:val="20"/>
        </w:rPr>
        <w:t>Los datos correspondientes al tercer trimestre se recopilaron entre el 1 y el 30 de abril de 2026. Los resultados reflejan la percepción de las empresas en el momento de la recogida de datos y pueden no incorporar el impacto potencial de acontecimientos posteriores. El tamaño de las empresas y los sectores se estandariza en todos los países para facilitar comparaciones internacionales.</w:t>
      </w:r>
    </w:p>
    <w:p w14:paraId="6F7B1A70" w14:textId="77777777" w:rsidR="00E743C6" w:rsidRDefault="00E743C6" w:rsidP="00B310D1">
      <w:pPr>
        <w:jc w:val="both"/>
        <w:rPr>
          <w:rFonts w:ascii="Arial" w:hAnsi="Arial" w:cs="Arial"/>
          <w:b/>
          <w:bCs/>
          <w:sz w:val="16"/>
          <w:szCs w:val="16"/>
        </w:rPr>
      </w:pPr>
    </w:p>
    <w:p w14:paraId="546FCD7F" w14:textId="77777777" w:rsidR="00B310D1" w:rsidRPr="00535BD3" w:rsidRDefault="00B310D1" w:rsidP="00B310D1">
      <w:pPr>
        <w:jc w:val="both"/>
        <w:rPr>
          <w:rFonts w:ascii="Arial" w:hAnsi="Arial" w:cs="Arial"/>
          <w:b/>
          <w:bCs/>
          <w:sz w:val="16"/>
          <w:szCs w:val="16"/>
        </w:rPr>
      </w:pPr>
    </w:p>
    <w:p w14:paraId="60B21FEA" w14:textId="77777777" w:rsidR="00E743C6" w:rsidRPr="00535BD3" w:rsidRDefault="00E743C6" w:rsidP="00B310D1">
      <w:pPr>
        <w:jc w:val="both"/>
        <w:rPr>
          <w:rFonts w:ascii="Arial" w:hAnsi="Arial" w:cs="Arial"/>
          <w:b/>
          <w:bCs/>
          <w:sz w:val="16"/>
          <w:szCs w:val="16"/>
        </w:rPr>
      </w:pPr>
    </w:p>
    <w:p w14:paraId="2C7F3D22" w14:textId="77777777" w:rsidR="00E743C6" w:rsidRPr="00535BD3" w:rsidRDefault="00E743C6" w:rsidP="00B310D1">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ManpowerGroup</w:t>
      </w:r>
    </w:p>
    <w:p w14:paraId="28591520"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 xml:space="preserve">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w:t>
      </w:r>
      <w:r w:rsidRPr="00535BD3">
        <w:rPr>
          <w:rFonts w:ascii="Arial" w:hAnsi="Arial" w:cs="Arial"/>
          <w:sz w:val="16"/>
          <w:szCs w:val="16"/>
        </w:rPr>
        <w:lastRenderedPageBreak/>
        <w:t>Solutions), aporta valor a candidatos y clientes en más de 75 países, como lleva haciendo durante más de 75 años. Además, sus políticas de diversidad, inclusión e igualdad y sus buenas prácticas de negocio son reconocidas por multitud de organizaciones.</w:t>
      </w:r>
    </w:p>
    <w:p w14:paraId="27259234" w14:textId="602B53C8" w:rsidR="00E743C6" w:rsidRPr="00535BD3" w:rsidRDefault="00E743C6" w:rsidP="00B310D1">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 xml:space="preserve">Más información en </w:t>
      </w:r>
      <w:hyperlink r:id="rId9" w:history="1">
        <w:r w:rsidRPr="00535BD3">
          <w:rPr>
            <w:rStyle w:val="Hipervnculo"/>
            <w:rFonts w:ascii="Arial" w:hAnsi="Arial" w:cs="Arial"/>
            <w:sz w:val="16"/>
            <w:szCs w:val="16"/>
          </w:rPr>
          <w:t>www.manpowergroup.es</w:t>
        </w:r>
      </w:hyperlink>
      <w:r w:rsidRPr="00535BD3">
        <w:rPr>
          <w:rFonts w:ascii="Arial" w:hAnsi="Arial" w:cs="Arial"/>
          <w:sz w:val="16"/>
          <w:szCs w:val="16"/>
        </w:rPr>
        <w:t>.</w:t>
      </w:r>
    </w:p>
    <w:p w14:paraId="6766AB22"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p>
    <w:p w14:paraId="68C013D0"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p>
    <w:p w14:paraId="2BC4F1F3" w14:textId="77777777" w:rsidR="00E743C6" w:rsidRPr="00535BD3" w:rsidRDefault="00E743C6" w:rsidP="00B310D1">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E743C6" w:rsidRPr="00535BD3" w14:paraId="241127AA" w14:textId="77777777" w:rsidTr="006F2E1B">
        <w:trPr>
          <w:trHeight w:val="1159"/>
        </w:trPr>
        <w:tc>
          <w:tcPr>
            <w:tcW w:w="3686" w:type="dxa"/>
            <w:hideMark/>
          </w:tcPr>
          <w:p w14:paraId="3D82B385" w14:textId="77777777" w:rsidR="00E743C6" w:rsidRPr="00535BD3" w:rsidRDefault="00E743C6" w:rsidP="00B310D1">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535BD3">
              <w:rPr>
                <w:rFonts w:ascii="Arial" w:hAnsi="Arial" w:cs="Arial"/>
                <w:color w:val="000000"/>
                <w:sz w:val="16"/>
                <w:szCs w:val="16"/>
                <w:u w:val="single"/>
              </w:rPr>
              <w:t>Agencia de comunicación Havas PR</w:t>
            </w:r>
          </w:p>
          <w:p w14:paraId="5A2DD0A7" w14:textId="77777777" w:rsidR="00E743C6" w:rsidRPr="00535BD3" w:rsidRDefault="00E743C6" w:rsidP="00B310D1">
            <w:pPr>
              <w:pStyle w:val="NormalWeb"/>
              <w:spacing w:before="0" w:beforeAutospacing="0" w:after="0" w:afterAutospacing="0"/>
              <w:jc w:val="both"/>
              <w:rPr>
                <w:rFonts w:ascii="Arial" w:hAnsi="Arial" w:cs="Arial"/>
                <w:color w:val="000000"/>
                <w:sz w:val="16"/>
                <w:szCs w:val="16"/>
              </w:rPr>
            </w:pPr>
            <w:hyperlink r:id="rId10" w:history="1">
              <w:r w:rsidRPr="00535BD3">
                <w:rPr>
                  <w:rStyle w:val="Hipervnculo"/>
                  <w:rFonts w:ascii="Arial" w:hAnsi="Arial" w:cs="Arial"/>
                  <w:sz w:val="16"/>
                  <w:szCs w:val="16"/>
                </w:rPr>
                <w:t>comunicacion.manpowergroup@havas.com</w:t>
              </w:r>
            </w:hyperlink>
            <w:r w:rsidRPr="00535BD3">
              <w:rPr>
                <w:rFonts w:ascii="Arial" w:hAnsi="Arial" w:cs="Arial"/>
                <w:color w:val="000000"/>
                <w:sz w:val="16"/>
                <w:szCs w:val="16"/>
              </w:rPr>
              <w:t xml:space="preserve"> </w:t>
            </w:r>
          </w:p>
          <w:p w14:paraId="2AAA809E" w14:textId="77777777" w:rsidR="00E743C6" w:rsidRPr="00535BD3" w:rsidRDefault="00E743C6" w:rsidP="00B310D1">
            <w:pPr>
              <w:jc w:val="both"/>
              <w:outlineLvl w:val="0"/>
              <w:rPr>
                <w:rFonts w:ascii="Arial" w:hAnsi="Arial" w:cs="Arial"/>
                <w:b/>
                <w:sz w:val="16"/>
                <w:szCs w:val="16"/>
                <w:lang w:val="ca-ES"/>
              </w:rPr>
            </w:pPr>
          </w:p>
        </w:tc>
        <w:tc>
          <w:tcPr>
            <w:tcW w:w="2234" w:type="dxa"/>
          </w:tcPr>
          <w:p w14:paraId="6A150117" w14:textId="77777777" w:rsidR="00E743C6" w:rsidRPr="00535BD3" w:rsidRDefault="00E743C6" w:rsidP="00B310D1">
            <w:pPr>
              <w:jc w:val="both"/>
              <w:rPr>
                <w:rFonts w:ascii="Arial" w:hAnsi="Arial" w:cs="Arial"/>
                <w:sz w:val="16"/>
                <w:szCs w:val="16"/>
                <w:lang w:val="ca-ES"/>
              </w:rPr>
            </w:pPr>
          </w:p>
        </w:tc>
        <w:tc>
          <w:tcPr>
            <w:tcW w:w="3028" w:type="dxa"/>
          </w:tcPr>
          <w:p w14:paraId="42D7CB70" w14:textId="77777777" w:rsidR="00E743C6" w:rsidRPr="00535BD3" w:rsidRDefault="00E743C6" w:rsidP="00B310D1">
            <w:pPr>
              <w:jc w:val="both"/>
              <w:outlineLvl w:val="0"/>
              <w:rPr>
                <w:rFonts w:ascii="Arial" w:hAnsi="Arial" w:cs="Arial"/>
                <w:b/>
                <w:sz w:val="16"/>
                <w:szCs w:val="16"/>
              </w:rPr>
            </w:pPr>
            <w:r w:rsidRPr="00535BD3">
              <w:rPr>
                <w:rFonts w:ascii="Arial" w:hAnsi="Arial" w:cs="Arial"/>
                <w:b/>
                <w:sz w:val="16"/>
                <w:szCs w:val="16"/>
              </w:rPr>
              <w:t>ManpowerGroup</w:t>
            </w:r>
          </w:p>
          <w:p w14:paraId="6BA459BB" w14:textId="77777777" w:rsidR="00E743C6" w:rsidRPr="00535BD3" w:rsidRDefault="00E743C6" w:rsidP="00B310D1">
            <w:pPr>
              <w:jc w:val="both"/>
              <w:outlineLvl w:val="0"/>
              <w:rPr>
                <w:rFonts w:ascii="Arial" w:hAnsi="Arial" w:cs="Arial"/>
                <w:sz w:val="16"/>
                <w:szCs w:val="16"/>
              </w:rPr>
            </w:pPr>
            <w:r w:rsidRPr="00535BD3">
              <w:rPr>
                <w:rFonts w:ascii="Arial" w:hAnsi="Arial" w:cs="Arial"/>
                <w:sz w:val="16"/>
                <w:szCs w:val="16"/>
              </w:rPr>
              <w:t>Dpto. Comunicación</w:t>
            </w:r>
          </w:p>
          <w:p w14:paraId="1B13572B"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 xml:space="preserve">Gala Díaz Curiel </w:t>
            </w:r>
          </w:p>
          <w:p w14:paraId="5003C664"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607 35 33 49</w:t>
            </w:r>
          </w:p>
          <w:p w14:paraId="3BDEC5E4" w14:textId="77777777" w:rsidR="00E743C6" w:rsidRPr="00535BD3" w:rsidRDefault="00E743C6" w:rsidP="00B310D1">
            <w:pPr>
              <w:jc w:val="both"/>
              <w:rPr>
                <w:rFonts w:ascii="Arial" w:hAnsi="Arial" w:cs="Arial"/>
                <w:sz w:val="16"/>
                <w:szCs w:val="16"/>
                <w:u w:val="single"/>
              </w:rPr>
            </w:pPr>
            <w:hyperlink r:id="rId11" w:history="1">
              <w:r w:rsidRPr="00535BD3">
                <w:rPr>
                  <w:rStyle w:val="Hipervnculo"/>
                  <w:rFonts w:ascii="Arial" w:hAnsi="Arial" w:cs="Arial"/>
                  <w:sz w:val="16"/>
                  <w:szCs w:val="16"/>
                </w:rPr>
                <w:t>gala.diaz@manpowergroup.es</w:t>
              </w:r>
            </w:hyperlink>
          </w:p>
          <w:p w14:paraId="6C5A9451" w14:textId="77777777" w:rsidR="00E743C6" w:rsidRPr="00535BD3" w:rsidRDefault="00E743C6" w:rsidP="00B310D1">
            <w:pPr>
              <w:jc w:val="both"/>
              <w:rPr>
                <w:rFonts w:ascii="Arial" w:hAnsi="Arial" w:cs="Arial"/>
                <w:sz w:val="16"/>
                <w:szCs w:val="16"/>
              </w:rPr>
            </w:pPr>
          </w:p>
          <w:p w14:paraId="69F8D51E"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Juan Gómez Rodríguez</w:t>
            </w:r>
          </w:p>
          <w:p w14:paraId="0A14DD1B" w14:textId="77777777" w:rsidR="00E743C6" w:rsidRPr="00535BD3" w:rsidRDefault="00E743C6" w:rsidP="00B310D1">
            <w:pPr>
              <w:jc w:val="both"/>
              <w:rPr>
                <w:rFonts w:ascii="Arial" w:hAnsi="Arial" w:cs="Arial"/>
                <w:sz w:val="16"/>
                <w:szCs w:val="16"/>
                <w:lang w:val="de-DE"/>
              </w:rPr>
            </w:pPr>
            <w:r w:rsidRPr="00535BD3">
              <w:rPr>
                <w:rFonts w:ascii="Arial" w:hAnsi="Arial" w:cs="Arial"/>
                <w:sz w:val="16"/>
                <w:szCs w:val="16"/>
                <w:lang w:val="de-DE"/>
              </w:rPr>
              <w:t>Tel. 687 51 96 90</w:t>
            </w:r>
          </w:p>
          <w:p w14:paraId="5D731C4A" w14:textId="77777777" w:rsidR="00E743C6" w:rsidRPr="00535BD3" w:rsidRDefault="00E743C6" w:rsidP="00B310D1">
            <w:pPr>
              <w:jc w:val="both"/>
              <w:rPr>
                <w:rFonts w:ascii="Arial" w:hAnsi="Arial" w:cs="Arial"/>
                <w:sz w:val="16"/>
                <w:szCs w:val="16"/>
                <w:lang w:val="de-DE"/>
              </w:rPr>
            </w:pPr>
            <w:hyperlink r:id="rId12" w:history="1">
              <w:r w:rsidRPr="00535BD3">
                <w:rPr>
                  <w:rStyle w:val="Hipervnculo"/>
                  <w:rFonts w:ascii="Arial" w:hAnsi="Arial" w:cs="Arial"/>
                  <w:sz w:val="16"/>
                  <w:szCs w:val="16"/>
                  <w:lang w:val="de-DE"/>
                </w:rPr>
                <w:t>juan.gomez@manpowergroup.es</w:t>
              </w:r>
            </w:hyperlink>
          </w:p>
        </w:tc>
      </w:tr>
      <w:bookmarkEnd w:id="7"/>
    </w:tbl>
    <w:p w14:paraId="412B63FF" w14:textId="77777777" w:rsidR="00E743C6" w:rsidRPr="00F51FFC" w:rsidRDefault="00E743C6" w:rsidP="003A0473">
      <w:pPr>
        <w:tabs>
          <w:tab w:val="right" w:pos="8838"/>
        </w:tabs>
        <w:autoSpaceDE w:val="0"/>
        <w:autoSpaceDN w:val="0"/>
        <w:adjustRightInd w:val="0"/>
        <w:jc w:val="both"/>
        <w:rPr>
          <w:rFonts w:ascii="Arial" w:hAnsi="Arial" w:cs="Arial"/>
          <w:b/>
          <w:bCs/>
          <w:sz w:val="16"/>
          <w:szCs w:val="16"/>
          <w:lang w:val="de-DE"/>
        </w:rPr>
      </w:pPr>
    </w:p>
    <w:sectPr w:rsidR="00E743C6" w:rsidRPr="00F51FFC" w:rsidSect="006A2051">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C709" w14:textId="77777777" w:rsidR="003E24DF" w:rsidRDefault="003E24DF">
      <w:r>
        <w:separator/>
      </w:r>
    </w:p>
  </w:endnote>
  <w:endnote w:type="continuationSeparator" w:id="0">
    <w:p w14:paraId="5BE9C088" w14:textId="77777777" w:rsidR="003E24DF" w:rsidRDefault="003E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07CE5864" w:rsidR="00FB1381" w:rsidRDefault="00A26A8F" w:rsidP="006A2051">
    <w:pPr>
      <w:pStyle w:val="Piedepgina"/>
      <w:jc w:val="center"/>
    </w:pPr>
    <w:r>
      <w:rPr>
        <w:noProof/>
      </w:rPr>
      <w:drawing>
        <wp:inline distT="0" distB="0" distL="0" distR="0" wp14:anchorId="1221A69C" wp14:editId="023E855C">
          <wp:extent cx="4871545" cy="685800"/>
          <wp:effectExtent l="0" t="0" r="5715" b="0"/>
          <wp:docPr id="70376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6221" name="Imagen 70376221"/>
                  <pic:cNvPicPr/>
                </pic:nvPicPr>
                <pic:blipFill>
                  <a:blip r:embed="rId1">
                    <a:extLst>
                      <a:ext uri="{28A0092B-C50C-407E-A947-70E740481C1C}">
                        <a14:useLocalDpi xmlns:a14="http://schemas.microsoft.com/office/drawing/2010/main" val="0"/>
                      </a:ext>
                    </a:extLst>
                  </a:blip>
                  <a:stretch>
                    <a:fillRect/>
                  </a:stretch>
                </pic:blipFill>
                <pic:spPr>
                  <a:xfrm>
                    <a:off x="0" y="0"/>
                    <a:ext cx="4876006" cy="6864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68B7" w14:textId="77777777" w:rsidR="003E24DF" w:rsidRDefault="003E24DF">
      <w:r>
        <w:separator/>
      </w:r>
    </w:p>
  </w:footnote>
  <w:footnote w:type="continuationSeparator" w:id="0">
    <w:p w14:paraId="5D3DB938" w14:textId="77777777" w:rsidR="003E24DF" w:rsidRDefault="003E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12BA7019" w:rsidR="006A2051" w:rsidRDefault="006A2051" w:rsidP="00F34829">
    <w:pPr>
      <w:pStyle w:val="Encabezado"/>
      <w:rPr>
        <w:rFonts w:ascii="Verdana" w:hAnsi="Verdana"/>
        <w:noProof/>
        <w:color w:val="616161"/>
        <w:sz w:val="14"/>
        <w:szCs w:val="14"/>
      </w:rPr>
    </w:pPr>
    <w:bookmarkStart w:id="8" w:name="_Hlk216197163"/>
    <w:bookmarkStart w:id="9" w:name="_Hlk216197164"/>
    <w:bookmarkStart w:id="10" w:name="_Hlk216197174"/>
    <w:bookmarkStart w:id="11" w:name="_Hlk216197175"/>
    <w:r>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r w:rsidR="009C6E19" w:rsidRPr="009C6E19">
      <w:rPr>
        <w:rFonts w:ascii="Verdana" w:hAnsi="Verdana"/>
        <w:noProof/>
        <w:color w:val="616161"/>
        <w:sz w:val="14"/>
        <w:szCs w:val="14"/>
      </w:rPr>
      <w:drawing>
        <wp:inline distT="0" distB="0" distL="0" distR="0" wp14:anchorId="111AF847" wp14:editId="46A165F5">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8"/>
  <w:bookmarkEnd w:id="9"/>
  <w:bookmarkEnd w:id="10"/>
  <w:bookmarkEnd w:id="11"/>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4B"/>
    <w:multiLevelType w:val="hybridMultilevel"/>
    <w:tmpl w:val="67B617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E673F"/>
    <w:multiLevelType w:val="hybridMultilevel"/>
    <w:tmpl w:val="4BE02AF8"/>
    <w:lvl w:ilvl="0" w:tplc="E4A42D0E">
      <w:start w:val="1"/>
      <w:numFmt w:val="bullet"/>
      <w:lvlText w:val=""/>
      <w:lvlJc w:val="left"/>
      <w:pPr>
        <w:ind w:left="720" w:hanging="360"/>
      </w:pPr>
      <w:rPr>
        <w:rFonts w:ascii="Symbol" w:hAnsi="Symbol"/>
      </w:rPr>
    </w:lvl>
    <w:lvl w:ilvl="1" w:tplc="E55A4EEC">
      <w:start w:val="1"/>
      <w:numFmt w:val="bullet"/>
      <w:lvlText w:val=""/>
      <w:lvlJc w:val="left"/>
      <w:pPr>
        <w:ind w:left="720" w:hanging="360"/>
      </w:pPr>
      <w:rPr>
        <w:rFonts w:ascii="Symbol" w:hAnsi="Symbol"/>
      </w:rPr>
    </w:lvl>
    <w:lvl w:ilvl="2" w:tplc="2DC8A38A">
      <w:start w:val="1"/>
      <w:numFmt w:val="bullet"/>
      <w:lvlText w:val=""/>
      <w:lvlJc w:val="left"/>
      <w:pPr>
        <w:ind w:left="720" w:hanging="360"/>
      </w:pPr>
      <w:rPr>
        <w:rFonts w:ascii="Symbol" w:hAnsi="Symbol"/>
      </w:rPr>
    </w:lvl>
    <w:lvl w:ilvl="3" w:tplc="6874A252">
      <w:start w:val="1"/>
      <w:numFmt w:val="bullet"/>
      <w:lvlText w:val=""/>
      <w:lvlJc w:val="left"/>
      <w:pPr>
        <w:ind w:left="720" w:hanging="360"/>
      </w:pPr>
      <w:rPr>
        <w:rFonts w:ascii="Symbol" w:hAnsi="Symbol"/>
      </w:rPr>
    </w:lvl>
    <w:lvl w:ilvl="4" w:tplc="B13CF826">
      <w:start w:val="1"/>
      <w:numFmt w:val="bullet"/>
      <w:lvlText w:val=""/>
      <w:lvlJc w:val="left"/>
      <w:pPr>
        <w:ind w:left="720" w:hanging="360"/>
      </w:pPr>
      <w:rPr>
        <w:rFonts w:ascii="Symbol" w:hAnsi="Symbol"/>
      </w:rPr>
    </w:lvl>
    <w:lvl w:ilvl="5" w:tplc="8A30D8E8">
      <w:start w:val="1"/>
      <w:numFmt w:val="bullet"/>
      <w:lvlText w:val=""/>
      <w:lvlJc w:val="left"/>
      <w:pPr>
        <w:ind w:left="720" w:hanging="360"/>
      </w:pPr>
      <w:rPr>
        <w:rFonts w:ascii="Symbol" w:hAnsi="Symbol"/>
      </w:rPr>
    </w:lvl>
    <w:lvl w:ilvl="6" w:tplc="BC1299CE">
      <w:start w:val="1"/>
      <w:numFmt w:val="bullet"/>
      <w:lvlText w:val=""/>
      <w:lvlJc w:val="left"/>
      <w:pPr>
        <w:ind w:left="720" w:hanging="360"/>
      </w:pPr>
      <w:rPr>
        <w:rFonts w:ascii="Symbol" w:hAnsi="Symbol"/>
      </w:rPr>
    </w:lvl>
    <w:lvl w:ilvl="7" w:tplc="00307B6C">
      <w:start w:val="1"/>
      <w:numFmt w:val="bullet"/>
      <w:lvlText w:val=""/>
      <w:lvlJc w:val="left"/>
      <w:pPr>
        <w:ind w:left="720" w:hanging="360"/>
      </w:pPr>
      <w:rPr>
        <w:rFonts w:ascii="Symbol" w:hAnsi="Symbol"/>
      </w:rPr>
    </w:lvl>
    <w:lvl w:ilvl="8" w:tplc="783C155A">
      <w:start w:val="1"/>
      <w:numFmt w:val="bullet"/>
      <w:lvlText w:val=""/>
      <w:lvlJc w:val="left"/>
      <w:pPr>
        <w:ind w:left="720" w:hanging="360"/>
      </w:pPr>
      <w:rPr>
        <w:rFonts w:ascii="Symbol" w:hAnsi="Symbol"/>
      </w:rPr>
    </w:lvl>
  </w:abstractNum>
  <w:abstractNum w:abstractNumId="3" w15:restartNumberingAfterBreak="0">
    <w:nsid w:val="153E1CB6"/>
    <w:multiLevelType w:val="hybridMultilevel"/>
    <w:tmpl w:val="4746D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7260DE"/>
    <w:multiLevelType w:val="multilevel"/>
    <w:tmpl w:val="03B6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9"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5"/>
  </w:num>
  <w:num w:numId="2" w16cid:durableId="1342783302">
    <w:abstractNumId w:val="8"/>
  </w:num>
  <w:num w:numId="3" w16cid:durableId="305208792">
    <w:abstractNumId w:val="7"/>
  </w:num>
  <w:num w:numId="4" w16cid:durableId="126244196">
    <w:abstractNumId w:val="6"/>
  </w:num>
  <w:num w:numId="5" w16cid:durableId="1245341768">
    <w:abstractNumId w:val="10"/>
  </w:num>
  <w:num w:numId="6" w16cid:durableId="597829097">
    <w:abstractNumId w:val="9"/>
  </w:num>
  <w:num w:numId="7" w16cid:durableId="2127692794">
    <w:abstractNumId w:val="1"/>
  </w:num>
  <w:num w:numId="8" w16cid:durableId="2060670331">
    <w:abstractNumId w:val="3"/>
  </w:num>
  <w:num w:numId="9" w16cid:durableId="667563418">
    <w:abstractNumId w:val="0"/>
  </w:num>
  <w:num w:numId="10" w16cid:durableId="1080445976">
    <w:abstractNumId w:val="2"/>
  </w:num>
  <w:num w:numId="11" w16cid:durableId="1137407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07C8"/>
    <w:rsid w:val="000258CF"/>
    <w:rsid w:val="00027080"/>
    <w:rsid w:val="00030253"/>
    <w:rsid w:val="00030508"/>
    <w:rsid w:val="000310B8"/>
    <w:rsid w:val="0003516C"/>
    <w:rsid w:val="0004003B"/>
    <w:rsid w:val="00042488"/>
    <w:rsid w:val="00043926"/>
    <w:rsid w:val="00047806"/>
    <w:rsid w:val="000507C4"/>
    <w:rsid w:val="00063579"/>
    <w:rsid w:val="00066C14"/>
    <w:rsid w:val="00066E6C"/>
    <w:rsid w:val="00071876"/>
    <w:rsid w:val="000752A6"/>
    <w:rsid w:val="0008054F"/>
    <w:rsid w:val="000869A2"/>
    <w:rsid w:val="00090345"/>
    <w:rsid w:val="000915ED"/>
    <w:rsid w:val="00092740"/>
    <w:rsid w:val="000A1973"/>
    <w:rsid w:val="000A1DD3"/>
    <w:rsid w:val="000A1EBF"/>
    <w:rsid w:val="000A1F63"/>
    <w:rsid w:val="000A3669"/>
    <w:rsid w:val="000A5406"/>
    <w:rsid w:val="000A7606"/>
    <w:rsid w:val="000A7DFE"/>
    <w:rsid w:val="000C12D2"/>
    <w:rsid w:val="000C1F4F"/>
    <w:rsid w:val="000C326C"/>
    <w:rsid w:val="000C41F9"/>
    <w:rsid w:val="000D00D5"/>
    <w:rsid w:val="000D2B5A"/>
    <w:rsid w:val="000D573A"/>
    <w:rsid w:val="000D6AB6"/>
    <w:rsid w:val="000E191A"/>
    <w:rsid w:val="000F11D7"/>
    <w:rsid w:val="000F269C"/>
    <w:rsid w:val="000F428E"/>
    <w:rsid w:val="000F4634"/>
    <w:rsid w:val="00103F84"/>
    <w:rsid w:val="0011607A"/>
    <w:rsid w:val="0012170F"/>
    <w:rsid w:val="00123899"/>
    <w:rsid w:val="00124DEA"/>
    <w:rsid w:val="00131287"/>
    <w:rsid w:val="001319E5"/>
    <w:rsid w:val="001324E2"/>
    <w:rsid w:val="00132EA5"/>
    <w:rsid w:val="00143F63"/>
    <w:rsid w:val="001442A6"/>
    <w:rsid w:val="001463C1"/>
    <w:rsid w:val="00147F82"/>
    <w:rsid w:val="00153505"/>
    <w:rsid w:val="00154F3A"/>
    <w:rsid w:val="0015531B"/>
    <w:rsid w:val="00156E14"/>
    <w:rsid w:val="00166FA8"/>
    <w:rsid w:val="00171AAA"/>
    <w:rsid w:val="00171C34"/>
    <w:rsid w:val="001740C7"/>
    <w:rsid w:val="00175E3F"/>
    <w:rsid w:val="00177CB8"/>
    <w:rsid w:val="00181155"/>
    <w:rsid w:val="00187625"/>
    <w:rsid w:val="00190E3D"/>
    <w:rsid w:val="00195CAB"/>
    <w:rsid w:val="001A2A76"/>
    <w:rsid w:val="001A332D"/>
    <w:rsid w:val="001A60DD"/>
    <w:rsid w:val="001A645B"/>
    <w:rsid w:val="001A645F"/>
    <w:rsid w:val="001B39AD"/>
    <w:rsid w:val="001C10B4"/>
    <w:rsid w:val="001C702D"/>
    <w:rsid w:val="001D5BD3"/>
    <w:rsid w:val="001E0B29"/>
    <w:rsid w:val="001E24E8"/>
    <w:rsid w:val="001E6322"/>
    <w:rsid w:val="001E7292"/>
    <w:rsid w:val="001F3A45"/>
    <w:rsid w:val="001F3E41"/>
    <w:rsid w:val="001F5C01"/>
    <w:rsid w:val="001F7ADD"/>
    <w:rsid w:val="00204B99"/>
    <w:rsid w:val="00204E64"/>
    <w:rsid w:val="002059D2"/>
    <w:rsid w:val="00205D68"/>
    <w:rsid w:val="0021069A"/>
    <w:rsid w:val="00212129"/>
    <w:rsid w:val="002246BA"/>
    <w:rsid w:val="00224DE1"/>
    <w:rsid w:val="00231877"/>
    <w:rsid w:val="002331A8"/>
    <w:rsid w:val="00234172"/>
    <w:rsid w:val="00235658"/>
    <w:rsid w:val="0024317A"/>
    <w:rsid w:val="00252A0D"/>
    <w:rsid w:val="00261409"/>
    <w:rsid w:val="00264632"/>
    <w:rsid w:val="00271614"/>
    <w:rsid w:val="00274A5D"/>
    <w:rsid w:val="0027680B"/>
    <w:rsid w:val="00281944"/>
    <w:rsid w:val="00294475"/>
    <w:rsid w:val="002A2DD5"/>
    <w:rsid w:val="002A3D92"/>
    <w:rsid w:val="002A78A1"/>
    <w:rsid w:val="002B1165"/>
    <w:rsid w:val="002B3F52"/>
    <w:rsid w:val="002C01E7"/>
    <w:rsid w:val="002C02D9"/>
    <w:rsid w:val="002D032D"/>
    <w:rsid w:val="002E1864"/>
    <w:rsid w:val="002E285C"/>
    <w:rsid w:val="002E2F04"/>
    <w:rsid w:val="002E4A5C"/>
    <w:rsid w:val="002E5E6F"/>
    <w:rsid w:val="002F2E0A"/>
    <w:rsid w:val="002F4816"/>
    <w:rsid w:val="003006FC"/>
    <w:rsid w:val="003019C9"/>
    <w:rsid w:val="003108C5"/>
    <w:rsid w:val="00310DC4"/>
    <w:rsid w:val="0031176F"/>
    <w:rsid w:val="0031490C"/>
    <w:rsid w:val="00321F4F"/>
    <w:rsid w:val="0032424C"/>
    <w:rsid w:val="00326089"/>
    <w:rsid w:val="00326125"/>
    <w:rsid w:val="00326FC2"/>
    <w:rsid w:val="00331310"/>
    <w:rsid w:val="00332D02"/>
    <w:rsid w:val="00332E95"/>
    <w:rsid w:val="00336187"/>
    <w:rsid w:val="00337FD2"/>
    <w:rsid w:val="00344595"/>
    <w:rsid w:val="00346E05"/>
    <w:rsid w:val="003470C8"/>
    <w:rsid w:val="003509A5"/>
    <w:rsid w:val="0035552B"/>
    <w:rsid w:val="0036538C"/>
    <w:rsid w:val="003657F6"/>
    <w:rsid w:val="00380B8C"/>
    <w:rsid w:val="003837E6"/>
    <w:rsid w:val="00383F58"/>
    <w:rsid w:val="00390D3C"/>
    <w:rsid w:val="003923EE"/>
    <w:rsid w:val="003A0473"/>
    <w:rsid w:val="003A1B09"/>
    <w:rsid w:val="003A214F"/>
    <w:rsid w:val="003A2B29"/>
    <w:rsid w:val="003A49AD"/>
    <w:rsid w:val="003A5A50"/>
    <w:rsid w:val="003A6138"/>
    <w:rsid w:val="003A6E78"/>
    <w:rsid w:val="003B07C9"/>
    <w:rsid w:val="003C2224"/>
    <w:rsid w:val="003C61D6"/>
    <w:rsid w:val="003C6EC8"/>
    <w:rsid w:val="003D0E85"/>
    <w:rsid w:val="003D4F9E"/>
    <w:rsid w:val="003D6B89"/>
    <w:rsid w:val="003E24DF"/>
    <w:rsid w:val="003E371D"/>
    <w:rsid w:val="003F1121"/>
    <w:rsid w:val="00401989"/>
    <w:rsid w:val="00406BD9"/>
    <w:rsid w:val="00407AD8"/>
    <w:rsid w:val="0041325B"/>
    <w:rsid w:val="00413BA3"/>
    <w:rsid w:val="00415A6A"/>
    <w:rsid w:val="00416931"/>
    <w:rsid w:val="00424DEC"/>
    <w:rsid w:val="00425DEE"/>
    <w:rsid w:val="0043086E"/>
    <w:rsid w:val="00435EEA"/>
    <w:rsid w:val="0044035B"/>
    <w:rsid w:val="00441AA5"/>
    <w:rsid w:val="00443A21"/>
    <w:rsid w:val="00456993"/>
    <w:rsid w:val="004612C2"/>
    <w:rsid w:val="00464EA3"/>
    <w:rsid w:val="00475A4A"/>
    <w:rsid w:val="00485852"/>
    <w:rsid w:val="00485E70"/>
    <w:rsid w:val="00493CFD"/>
    <w:rsid w:val="004958BB"/>
    <w:rsid w:val="00497689"/>
    <w:rsid w:val="004A4DEB"/>
    <w:rsid w:val="004B5032"/>
    <w:rsid w:val="004C0F40"/>
    <w:rsid w:val="004C607E"/>
    <w:rsid w:val="004C62C0"/>
    <w:rsid w:val="004C6DBC"/>
    <w:rsid w:val="004C7FBD"/>
    <w:rsid w:val="004D1FAF"/>
    <w:rsid w:val="004D4711"/>
    <w:rsid w:val="004D5F53"/>
    <w:rsid w:val="004E23C4"/>
    <w:rsid w:val="004E2530"/>
    <w:rsid w:val="004E403C"/>
    <w:rsid w:val="004F67EC"/>
    <w:rsid w:val="004F7AE3"/>
    <w:rsid w:val="00511519"/>
    <w:rsid w:val="00512001"/>
    <w:rsid w:val="00514004"/>
    <w:rsid w:val="005201CA"/>
    <w:rsid w:val="005229BB"/>
    <w:rsid w:val="00525188"/>
    <w:rsid w:val="00530474"/>
    <w:rsid w:val="00533536"/>
    <w:rsid w:val="00533EC8"/>
    <w:rsid w:val="00541A7B"/>
    <w:rsid w:val="00543126"/>
    <w:rsid w:val="005443A1"/>
    <w:rsid w:val="00546498"/>
    <w:rsid w:val="00547D42"/>
    <w:rsid w:val="005602DF"/>
    <w:rsid w:val="00561B53"/>
    <w:rsid w:val="005630A5"/>
    <w:rsid w:val="00565989"/>
    <w:rsid w:val="00576DDF"/>
    <w:rsid w:val="00577B92"/>
    <w:rsid w:val="0058531F"/>
    <w:rsid w:val="00590192"/>
    <w:rsid w:val="0059060D"/>
    <w:rsid w:val="005A7DB1"/>
    <w:rsid w:val="005A7E9C"/>
    <w:rsid w:val="005B2218"/>
    <w:rsid w:val="005B5B40"/>
    <w:rsid w:val="005B7CDC"/>
    <w:rsid w:val="005C33ED"/>
    <w:rsid w:val="005C4439"/>
    <w:rsid w:val="005C59AF"/>
    <w:rsid w:val="005D1AE9"/>
    <w:rsid w:val="005D5DC2"/>
    <w:rsid w:val="005E0E99"/>
    <w:rsid w:val="005E1842"/>
    <w:rsid w:val="005E4173"/>
    <w:rsid w:val="005E6887"/>
    <w:rsid w:val="005F1B79"/>
    <w:rsid w:val="005F1CEB"/>
    <w:rsid w:val="005F3998"/>
    <w:rsid w:val="00600F24"/>
    <w:rsid w:val="0060110C"/>
    <w:rsid w:val="006053FB"/>
    <w:rsid w:val="00610958"/>
    <w:rsid w:val="00617DAE"/>
    <w:rsid w:val="00620D22"/>
    <w:rsid w:val="006210BA"/>
    <w:rsid w:val="006213E2"/>
    <w:rsid w:val="00624FC4"/>
    <w:rsid w:val="00640A0A"/>
    <w:rsid w:val="006421FF"/>
    <w:rsid w:val="0064466A"/>
    <w:rsid w:val="006515B4"/>
    <w:rsid w:val="00652342"/>
    <w:rsid w:val="006570E0"/>
    <w:rsid w:val="006602D5"/>
    <w:rsid w:val="00663580"/>
    <w:rsid w:val="006809AA"/>
    <w:rsid w:val="00681150"/>
    <w:rsid w:val="00684D56"/>
    <w:rsid w:val="00685895"/>
    <w:rsid w:val="00685FB7"/>
    <w:rsid w:val="0068687C"/>
    <w:rsid w:val="00687087"/>
    <w:rsid w:val="0069236B"/>
    <w:rsid w:val="00694B11"/>
    <w:rsid w:val="00697039"/>
    <w:rsid w:val="006972C0"/>
    <w:rsid w:val="006A1012"/>
    <w:rsid w:val="006A2051"/>
    <w:rsid w:val="006A71A2"/>
    <w:rsid w:val="006A7C62"/>
    <w:rsid w:val="006B0AED"/>
    <w:rsid w:val="006B6CC7"/>
    <w:rsid w:val="006B7478"/>
    <w:rsid w:val="006C49DB"/>
    <w:rsid w:val="006C5FFF"/>
    <w:rsid w:val="006D54CF"/>
    <w:rsid w:val="006E3530"/>
    <w:rsid w:val="006E3790"/>
    <w:rsid w:val="006E3A61"/>
    <w:rsid w:val="006E6724"/>
    <w:rsid w:val="006E6A20"/>
    <w:rsid w:val="0070008E"/>
    <w:rsid w:val="0070035A"/>
    <w:rsid w:val="0070547F"/>
    <w:rsid w:val="00706868"/>
    <w:rsid w:val="00710280"/>
    <w:rsid w:val="00715BBB"/>
    <w:rsid w:val="00720F29"/>
    <w:rsid w:val="0072269E"/>
    <w:rsid w:val="00731C5F"/>
    <w:rsid w:val="00747CE2"/>
    <w:rsid w:val="00750181"/>
    <w:rsid w:val="00750C5B"/>
    <w:rsid w:val="007546E1"/>
    <w:rsid w:val="00761040"/>
    <w:rsid w:val="00761D60"/>
    <w:rsid w:val="00763C96"/>
    <w:rsid w:val="00765378"/>
    <w:rsid w:val="00773069"/>
    <w:rsid w:val="00773536"/>
    <w:rsid w:val="00781148"/>
    <w:rsid w:val="00787F0D"/>
    <w:rsid w:val="00797695"/>
    <w:rsid w:val="007A0082"/>
    <w:rsid w:val="007A0CED"/>
    <w:rsid w:val="007A1361"/>
    <w:rsid w:val="007A2C20"/>
    <w:rsid w:val="007A5D95"/>
    <w:rsid w:val="007A74B1"/>
    <w:rsid w:val="007B0AFA"/>
    <w:rsid w:val="007B1E8E"/>
    <w:rsid w:val="007B59D1"/>
    <w:rsid w:val="007B679F"/>
    <w:rsid w:val="007C1C1A"/>
    <w:rsid w:val="007C286C"/>
    <w:rsid w:val="007C3B5E"/>
    <w:rsid w:val="007E3CDF"/>
    <w:rsid w:val="007E50C2"/>
    <w:rsid w:val="007E5ED7"/>
    <w:rsid w:val="00801C70"/>
    <w:rsid w:val="00807311"/>
    <w:rsid w:val="00810D81"/>
    <w:rsid w:val="0081336C"/>
    <w:rsid w:val="00815B32"/>
    <w:rsid w:val="0081638E"/>
    <w:rsid w:val="00817519"/>
    <w:rsid w:val="00822154"/>
    <w:rsid w:val="0082306D"/>
    <w:rsid w:val="008236B4"/>
    <w:rsid w:val="00824B8D"/>
    <w:rsid w:val="00825CE9"/>
    <w:rsid w:val="00833581"/>
    <w:rsid w:val="00834898"/>
    <w:rsid w:val="00836F8E"/>
    <w:rsid w:val="00841381"/>
    <w:rsid w:val="00843A81"/>
    <w:rsid w:val="00843DB9"/>
    <w:rsid w:val="00853C2E"/>
    <w:rsid w:val="00853F4A"/>
    <w:rsid w:val="00854BFA"/>
    <w:rsid w:val="00857735"/>
    <w:rsid w:val="00857C81"/>
    <w:rsid w:val="00861B43"/>
    <w:rsid w:val="00861C2E"/>
    <w:rsid w:val="00867F26"/>
    <w:rsid w:val="008742C9"/>
    <w:rsid w:val="008756C2"/>
    <w:rsid w:val="008764B5"/>
    <w:rsid w:val="008767A2"/>
    <w:rsid w:val="00882FCB"/>
    <w:rsid w:val="00885750"/>
    <w:rsid w:val="008861A5"/>
    <w:rsid w:val="00890CD3"/>
    <w:rsid w:val="0089190E"/>
    <w:rsid w:val="008920AC"/>
    <w:rsid w:val="00894DEA"/>
    <w:rsid w:val="008A4224"/>
    <w:rsid w:val="008B0BEA"/>
    <w:rsid w:val="008B155B"/>
    <w:rsid w:val="008B54C7"/>
    <w:rsid w:val="008B71B4"/>
    <w:rsid w:val="008C0114"/>
    <w:rsid w:val="008C5AB0"/>
    <w:rsid w:val="008C7CF6"/>
    <w:rsid w:val="008C7DC2"/>
    <w:rsid w:val="008D27B6"/>
    <w:rsid w:val="008D2C81"/>
    <w:rsid w:val="008D39F2"/>
    <w:rsid w:val="008E048D"/>
    <w:rsid w:val="008E54AD"/>
    <w:rsid w:val="008E730B"/>
    <w:rsid w:val="008F077C"/>
    <w:rsid w:val="008F1B68"/>
    <w:rsid w:val="008F1BBD"/>
    <w:rsid w:val="008F4303"/>
    <w:rsid w:val="00902BD1"/>
    <w:rsid w:val="00907542"/>
    <w:rsid w:val="00910200"/>
    <w:rsid w:val="009164C2"/>
    <w:rsid w:val="00925414"/>
    <w:rsid w:val="00926099"/>
    <w:rsid w:val="00926103"/>
    <w:rsid w:val="00927308"/>
    <w:rsid w:val="00932B40"/>
    <w:rsid w:val="00932CB7"/>
    <w:rsid w:val="00942998"/>
    <w:rsid w:val="009436E0"/>
    <w:rsid w:val="0094507D"/>
    <w:rsid w:val="00950D36"/>
    <w:rsid w:val="0095341D"/>
    <w:rsid w:val="00955E63"/>
    <w:rsid w:val="00956D9A"/>
    <w:rsid w:val="0096266D"/>
    <w:rsid w:val="00966C53"/>
    <w:rsid w:val="0097553E"/>
    <w:rsid w:val="00977BE7"/>
    <w:rsid w:val="00980677"/>
    <w:rsid w:val="00980C09"/>
    <w:rsid w:val="00981941"/>
    <w:rsid w:val="00983A48"/>
    <w:rsid w:val="00995CAC"/>
    <w:rsid w:val="009A0E87"/>
    <w:rsid w:val="009A1EB0"/>
    <w:rsid w:val="009A3526"/>
    <w:rsid w:val="009A4EA0"/>
    <w:rsid w:val="009A6F8A"/>
    <w:rsid w:val="009B5E31"/>
    <w:rsid w:val="009B741B"/>
    <w:rsid w:val="009C2675"/>
    <w:rsid w:val="009C45C0"/>
    <w:rsid w:val="009C6314"/>
    <w:rsid w:val="009C6E19"/>
    <w:rsid w:val="009C7B80"/>
    <w:rsid w:val="009D3220"/>
    <w:rsid w:val="009D3CF7"/>
    <w:rsid w:val="009E06CC"/>
    <w:rsid w:val="009E4D15"/>
    <w:rsid w:val="009E6171"/>
    <w:rsid w:val="009F01EA"/>
    <w:rsid w:val="009F1332"/>
    <w:rsid w:val="009F315E"/>
    <w:rsid w:val="009F46C2"/>
    <w:rsid w:val="009F7DB9"/>
    <w:rsid w:val="009F7E1C"/>
    <w:rsid w:val="00A05766"/>
    <w:rsid w:val="00A1647D"/>
    <w:rsid w:val="00A17A0D"/>
    <w:rsid w:val="00A20F38"/>
    <w:rsid w:val="00A25658"/>
    <w:rsid w:val="00A26A8F"/>
    <w:rsid w:val="00A328F3"/>
    <w:rsid w:val="00A373DD"/>
    <w:rsid w:val="00A41710"/>
    <w:rsid w:val="00A41AA5"/>
    <w:rsid w:val="00A50B4D"/>
    <w:rsid w:val="00A52AAA"/>
    <w:rsid w:val="00A52E71"/>
    <w:rsid w:val="00A54B87"/>
    <w:rsid w:val="00A56426"/>
    <w:rsid w:val="00A574BF"/>
    <w:rsid w:val="00A640F6"/>
    <w:rsid w:val="00A645A2"/>
    <w:rsid w:val="00A7208B"/>
    <w:rsid w:val="00A73C99"/>
    <w:rsid w:val="00A93B6A"/>
    <w:rsid w:val="00A9636B"/>
    <w:rsid w:val="00A966D6"/>
    <w:rsid w:val="00AA5C1C"/>
    <w:rsid w:val="00AB110E"/>
    <w:rsid w:val="00AB24A2"/>
    <w:rsid w:val="00AB278E"/>
    <w:rsid w:val="00AB6539"/>
    <w:rsid w:val="00AC710B"/>
    <w:rsid w:val="00AE0F5B"/>
    <w:rsid w:val="00AE3488"/>
    <w:rsid w:val="00AF11D7"/>
    <w:rsid w:val="00AF223E"/>
    <w:rsid w:val="00AF25AC"/>
    <w:rsid w:val="00AF2733"/>
    <w:rsid w:val="00AF313A"/>
    <w:rsid w:val="00B03429"/>
    <w:rsid w:val="00B05CD9"/>
    <w:rsid w:val="00B05D48"/>
    <w:rsid w:val="00B116AF"/>
    <w:rsid w:val="00B166B3"/>
    <w:rsid w:val="00B2389C"/>
    <w:rsid w:val="00B2420B"/>
    <w:rsid w:val="00B25727"/>
    <w:rsid w:val="00B27FC4"/>
    <w:rsid w:val="00B3034E"/>
    <w:rsid w:val="00B30B05"/>
    <w:rsid w:val="00B310D1"/>
    <w:rsid w:val="00B32AEE"/>
    <w:rsid w:val="00B34B96"/>
    <w:rsid w:val="00B43DBC"/>
    <w:rsid w:val="00B5158D"/>
    <w:rsid w:val="00B52382"/>
    <w:rsid w:val="00B628EE"/>
    <w:rsid w:val="00B72312"/>
    <w:rsid w:val="00B75AC2"/>
    <w:rsid w:val="00B8069B"/>
    <w:rsid w:val="00B86D0C"/>
    <w:rsid w:val="00B87468"/>
    <w:rsid w:val="00B950D2"/>
    <w:rsid w:val="00B963D0"/>
    <w:rsid w:val="00BA01EB"/>
    <w:rsid w:val="00BA4D8D"/>
    <w:rsid w:val="00BB1160"/>
    <w:rsid w:val="00BB39D9"/>
    <w:rsid w:val="00BB6209"/>
    <w:rsid w:val="00BC2220"/>
    <w:rsid w:val="00BC2B93"/>
    <w:rsid w:val="00BC45B7"/>
    <w:rsid w:val="00BC46BE"/>
    <w:rsid w:val="00BD4507"/>
    <w:rsid w:val="00BD6F76"/>
    <w:rsid w:val="00BE22AA"/>
    <w:rsid w:val="00BE6720"/>
    <w:rsid w:val="00BF0CA1"/>
    <w:rsid w:val="00BF2547"/>
    <w:rsid w:val="00BF5E11"/>
    <w:rsid w:val="00BF7FDF"/>
    <w:rsid w:val="00C01CA2"/>
    <w:rsid w:val="00C05B5B"/>
    <w:rsid w:val="00C06B0E"/>
    <w:rsid w:val="00C11876"/>
    <w:rsid w:val="00C145C5"/>
    <w:rsid w:val="00C25857"/>
    <w:rsid w:val="00C4474E"/>
    <w:rsid w:val="00C50A8F"/>
    <w:rsid w:val="00C536C9"/>
    <w:rsid w:val="00C54617"/>
    <w:rsid w:val="00C605EA"/>
    <w:rsid w:val="00C60787"/>
    <w:rsid w:val="00C61314"/>
    <w:rsid w:val="00C7314E"/>
    <w:rsid w:val="00C76422"/>
    <w:rsid w:val="00C767B0"/>
    <w:rsid w:val="00C76D5C"/>
    <w:rsid w:val="00C81AA7"/>
    <w:rsid w:val="00C83097"/>
    <w:rsid w:val="00C91CCE"/>
    <w:rsid w:val="00C9394A"/>
    <w:rsid w:val="00C943A5"/>
    <w:rsid w:val="00C952AF"/>
    <w:rsid w:val="00CA0905"/>
    <w:rsid w:val="00CB1A27"/>
    <w:rsid w:val="00CC0837"/>
    <w:rsid w:val="00CC10ED"/>
    <w:rsid w:val="00CC188B"/>
    <w:rsid w:val="00CC20DB"/>
    <w:rsid w:val="00CC5DF6"/>
    <w:rsid w:val="00CC69CF"/>
    <w:rsid w:val="00CD49D4"/>
    <w:rsid w:val="00CF74FF"/>
    <w:rsid w:val="00CF7C6A"/>
    <w:rsid w:val="00D02D48"/>
    <w:rsid w:val="00D03B64"/>
    <w:rsid w:val="00D04D6F"/>
    <w:rsid w:val="00D076F3"/>
    <w:rsid w:val="00D12D3F"/>
    <w:rsid w:val="00D14253"/>
    <w:rsid w:val="00D158E9"/>
    <w:rsid w:val="00D21BC9"/>
    <w:rsid w:val="00D24F22"/>
    <w:rsid w:val="00D260E9"/>
    <w:rsid w:val="00D27B5C"/>
    <w:rsid w:val="00D32B3E"/>
    <w:rsid w:val="00D3343D"/>
    <w:rsid w:val="00D3571D"/>
    <w:rsid w:val="00D36245"/>
    <w:rsid w:val="00D44426"/>
    <w:rsid w:val="00D44823"/>
    <w:rsid w:val="00D4601D"/>
    <w:rsid w:val="00D63AB2"/>
    <w:rsid w:val="00D64482"/>
    <w:rsid w:val="00D64574"/>
    <w:rsid w:val="00D716B3"/>
    <w:rsid w:val="00D76407"/>
    <w:rsid w:val="00D7641E"/>
    <w:rsid w:val="00D76B10"/>
    <w:rsid w:val="00D8655C"/>
    <w:rsid w:val="00D90EF8"/>
    <w:rsid w:val="00D91F81"/>
    <w:rsid w:val="00D92B75"/>
    <w:rsid w:val="00D96635"/>
    <w:rsid w:val="00D970E4"/>
    <w:rsid w:val="00DA2D0A"/>
    <w:rsid w:val="00DA3E4E"/>
    <w:rsid w:val="00DA4356"/>
    <w:rsid w:val="00DA4719"/>
    <w:rsid w:val="00DA6D43"/>
    <w:rsid w:val="00DB0F1B"/>
    <w:rsid w:val="00DB1EAA"/>
    <w:rsid w:val="00DB45BA"/>
    <w:rsid w:val="00DB5EEF"/>
    <w:rsid w:val="00DC304A"/>
    <w:rsid w:val="00DC55EB"/>
    <w:rsid w:val="00DC6709"/>
    <w:rsid w:val="00DD4924"/>
    <w:rsid w:val="00DD5829"/>
    <w:rsid w:val="00DE1F66"/>
    <w:rsid w:val="00DE6285"/>
    <w:rsid w:val="00DF0F97"/>
    <w:rsid w:val="00DF1DDF"/>
    <w:rsid w:val="00DF2519"/>
    <w:rsid w:val="00DF3C14"/>
    <w:rsid w:val="00E0449F"/>
    <w:rsid w:val="00E10601"/>
    <w:rsid w:val="00E10F98"/>
    <w:rsid w:val="00E11355"/>
    <w:rsid w:val="00E1195B"/>
    <w:rsid w:val="00E13675"/>
    <w:rsid w:val="00E13BED"/>
    <w:rsid w:val="00E14B59"/>
    <w:rsid w:val="00E151DB"/>
    <w:rsid w:val="00E32CA6"/>
    <w:rsid w:val="00E375F1"/>
    <w:rsid w:val="00E376BD"/>
    <w:rsid w:val="00E42A78"/>
    <w:rsid w:val="00E45460"/>
    <w:rsid w:val="00E56D8C"/>
    <w:rsid w:val="00E6057E"/>
    <w:rsid w:val="00E640EF"/>
    <w:rsid w:val="00E675C5"/>
    <w:rsid w:val="00E71ADB"/>
    <w:rsid w:val="00E743C6"/>
    <w:rsid w:val="00E76FE8"/>
    <w:rsid w:val="00E82A31"/>
    <w:rsid w:val="00E845CF"/>
    <w:rsid w:val="00E909F9"/>
    <w:rsid w:val="00E91772"/>
    <w:rsid w:val="00E93F97"/>
    <w:rsid w:val="00E9600E"/>
    <w:rsid w:val="00EA39E2"/>
    <w:rsid w:val="00EA5483"/>
    <w:rsid w:val="00EA5DFA"/>
    <w:rsid w:val="00EA7C7E"/>
    <w:rsid w:val="00EB11D6"/>
    <w:rsid w:val="00EB6111"/>
    <w:rsid w:val="00EC1563"/>
    <w:rsid w:val="00EC7CF2"/>
    <w:rsid w:val="00ED086E"/>
    <w:rsid w:val="00ED4D55"/>
    <w:rsid w:val="00ED788C"/>
    <w:rsid w:val="00EE4391"/>
    <w:rsid w:val="00EE4604"/>
    <w:rsid w:val="00EF254D"/>
    <w:rsid w:val="00EF4233"/>
    <w:rsid w:val="00EF7ED2"/>
    <w:rsid w:val="00F00E57"/>
    <w:rsid w:val="00F03D39"/>
    <w:rsid w:val="00F06E89"/>
    <w:rsid w:val="00F0730E"/>
    <w:rsid w:val="00F10FD4"/>
    <w:rsid w:val="00F13F28"/>
    <w:rsid w:val="00F15113"/>
    <w:rsid w:val="00F17A4D"/>
    <w:rsid w:val="00F24D52"/>
    <w:rsid w:val="00F34988"/>
    <w:rsid w:val="00F3663C"/>
    <w:rsid w:val="00F403AB"/>
    <w:rsid w:val="00F41FEF"/>
    <w:rsid w:val="00F423C5"/>
    <w:rsid w:val="00F42A65"/>
    <w:rsid w:val="00F45079"/>
    <w:rsid w:val="00F45C5A"/>
    <w:rsid w:val="00F46A83"/>
    <w:rsid w:val="00F51FFC"/>
    <w:rsid w:val="00F5395E"/>
    <w:rsid w:val="00F66A0E"/>
    <w:rsid w:val="00F72967"/>
    <w:rsid w:val="00F7374B"/>
    <w:rsid w:val="00F73A73"/>
    <w:rsid w:val="00F93269"/>
    <w:rsid w:val="00F93A2E"/>
    <w:rsid w:val="00F95E09"/>
    <w:rsid w:val="00FA30DA"/>
    <w:rsid w:val="00FA40B3"/>
    <w:rsid w:val="00FA51B0"/>
    <w:rsid w:val="00FA56FE"/>
    <w:rsid w:val="00FB1381"/>
    <w:rsid w:val="00FB561C"/>
    <w:rsid w:val="00FB6874"/>
    <w:rsid w:val="00FC3937"/>
    <w:rsid w:val="00FC7D4B"/>
    <w:rsid w:val="00FE3A32"/>
    <w:rsid w:val="00FE42DA"/>
    <w:rsid w:val="00FE5A82"/>
    <w:rsid w:val="00FE6AB0"/>
    <w:rsid w:val="00FF0A47"/>
    <w:rsid w:val="00FF4E94"/>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paragraph" w:customStyle="1" w:styleId="pf0">
    <w:name w:val="pf0"/>
    <w:basedOn w:val="Normal"/>
    <w:rsid w:val="00AF25AC"/>
    <w:pPr>
      <w:spacing w:before="100" w:beforeAutospacing="1" w:after="100" w:afterAutospacing="1"/>
    </w:pPr>
    <w:rPr>
      <w:rFonts w:eastAsia="Times New Roman"/>
    </w:rPr>
  </w:style>
  <w:style w:type="character" w:customStyle="1" w:styleId="cf01">
    <w:name w:val="cf01"/>
    <w:basedOn w:val="Fuentedeprrafopredeter"/>
    <w:rsid w:val="00AF25A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municacion.manpowergroup@havas.com" TargetMode="External" Type="http://schemas.openxmlformats.org/officeDocument/2006/relationships/hyperlink"/>
<Relationship Id="rId11" Target="mailto:gala.diaz@manpowergroup.es" TargetMode="External" Type="http://schemas.openxmlformats.org/officeDocument/2006/relationships/hyperlink"/>
<Relationship Id="rId12" Target="mailto:juan.gomez@manpowergroup.e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 Id="rId2" Target="media/image3.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795</Words>
  <Characters>4374</Characters>
  <Application/>
  <DocSecurity>0</DocSecurity>
  <Lines>36</Lines>
  <Paragraphs>10</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5159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