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058D" w14:textId="25E56DD1" w:rsidR="00577DF1" w:rsidRPr="00577DF1" w:rsidRDefault="7661205C" w:rsidP="6AE72285">
      <w:pPr>
        <w:pStyle w:val="NormalWeb"/>
        <w:spacing w:before="120" w:beforeAutospacing="0" w:after="0" w:afterAutospacing="0" w:line="288" w:lineRule="auto"/>
        <w:jc w:val="center"/>
        <w:rPr>
          <w:rFonts w:ascii="Arial" w:eastAsia="Arial" w:hAnsi="Arial" w:cs="Arial"/>
          <w:b/>
          <w:bCs/>
          <w:sz w:val="36"/>
          <w:szCs w:val="36"/>
        </w:rPr>
      </w:pPr>
      <w:bookmarkStart w:id="0" w:name="_Hlk176277549"/>
      <w:r w:rsidRPr="6AE72285">
        <w:rPr>
          <w:rFonts w:ascii="Arial" w:eastAsia="Arial" w:hAnsi="Arial" w:cs="Arial"/>
          <w:b/>
          <w:bCs/>
          <w:sz w:val="36"/>
          <w:szCs w:val="36"/>
        </w:rPr>
        <w:t>Más de 70 CEO</w:t>
      </w:r>
      <w:r w:rsidR="2F3B4047" w:rsidRPr="6AE72285">
        <w:rPr>
          <w:rFonts w:ascii="Arial" w:eastAsia="Arial" w:hAnsi="Arial" w:cs="Arial"/>
          <w:b/>
          <w:bCs/>
          <w:sz w:val="36"/>
          <w:szCs w:val="36"/>
        </w:rPr>
        <w:t xml:space="preserve"> </w:t>
      </w:r>
      <w:r w:rsidRPr="6AE72285">
        <w:rPr>
          <w:rFonts w:ascii="Arial" w:eastAsia="Arial" w:hAnsi="Arial" w:cs="Arial"/>
          <w:b/>
          <w:bCs/>
          <w:sz w:val="36"/>
          <w:szCs w:val="36"/>
        </w:rPr>
        <w:t>se reúnen en Madrid para analizar presente y futuro del empleo en un contexto de disrupción global</w:t>
      </w:r>
      <w:r w:rsidR="5696EAAF" w:rsidRPr="6AE72285">
        <w:rPr>
          <w:rFonts w:ascii="Arial" w:eastAsia="Arial" w:hAnsi="Arial" w:cs="Arial"/>
          <w:b/>
          <w:bCs/>
          <w:sz w:val="36"/>
          <w:szCs w:val="36"/>
        </w:rPr>
        <w:t xml:space="preserve"> acelerada</w:t>
      </w:r>
    </w:p>
    <w:p w14:paraId="1F4217E9" w14:textId="77777777" w:rsidR="008F4FC2" w:rsidRPr="0058525F" w:rsidRDefault="008F4FC2" w:rsidP="0058525F">
      <w:pPr>
        <w:pStyle w:val="Poromisin"/>
        <w:spacing w:before="120"/>
        <w:ind w:left="426"/>
        <w:jc w:val="both"/>
        <w:rPr>
          <w:rFonts w:ascii="Arial" w:eastAsia="Arial" w:hAnsi="Arial" w:cs="Arial"/>
          <w:bCs/>
          <w:i/>
          <w:iCs/>
          <w:sz w:val="22"/>
          <w:szCs w:val="22"/>
        </w:rPr>
      </w:pPr>
      <w:bookmarkStart w:id="1" w:name="_Hlk113557102"/>
      <w:bookmarkStart w:id="2" w:name="_Hlk137140302"/>
      <w:bookmarkStart w:id="3" w:name="_Hlk89449303"/>
      <w:bookmarkStart w:id="4" w:name="_Hlk90223537"/>
      <w:bookmarkStart w:id="5" w:name="_Hlk215568333"/>
      <w:bookmarkStart w:id="6" w:name="_Hlk89449332"/>
      <w:bookmarkEnd w:id="0"/>
    </w:p>
    <w:p w14:paraId="47333C32" w14:textId="099E95A9" w:rsidR="00513BD1" w:rsidRPr="0058525F" w:rsidRDefault="1067A98B" w:rsidP="6AE72285">
      <w:pPr>
        <w:pStyle w:val="Poromisin"/>
        <w:numPr>
          <w:ilvl w:val="0"/>
          <w:numId w:val="20"/>
        </w:numPr>
        <w:spacing w:before="120"/>
        <w:ind w:left="426"/>
        <w:jc w:val="both"/>
        <w:rPr>
          <w:rFonts w:ascii="Arial" w:eastAsia="Arial" w:hAnsi="Arial" w:cs="Arial"/>
          <w:i/>
          <w:iCs/>
          <w:color w:val="000000" w:themeColor="text1"/>
          <w:sz w:val="22"/>
          <w:szCs w:val="22"/>
        </w:rPr>
      </w:pPr>
      <w:r w:rsidRPr="6AE72285">
        <w:rPr>
          <w:rFonts w:ascii="Arial" w:eastAsia="Arial" w:hAnsi="Arial" w:cs="Arial"/>
          <w:i/>
          <w:iCs/>
          <w:color w:val="000000" w:themeColor="text1"/>
          <w:sz w:val="22"/>
          <w:szCs w:val="22"/>
        </w:rPr>
        <w:t>La segunda edición de The Exchange, organizada por ManpowerGroup, ha reunido a expertos y líderes empresariales para analizar un escenario condicionado por los movimientos geoestratégicos y los avances tecnológicos.</w:t>
      </w:r>
    </w:p>
    <w:p w14:paraId="216BE754" w14:textId="61DF0605" w:rsidR="00513BD1" w:rsidRPr="0058525F" w:rsidRDefault="1067A98B" w:rsidP="6AE72285">
      <w:pPr>
        <w:pStyle w:val="Poromisin"/>
        <w:numPr>
          <w:ilvl w:val="0"/>
          <w:numId w:val="20"/>
        </w:numPr>
        <w:spacing w:before="120"/>
        <w:ind w:left="426"/>
        <w:jc w:val="both"/>
        <w:rPr>
          <w:rFonts w:ascii="Arial" w:eastAsia="Arial" w:hAnsi="Arial" w:cs="Arial"/>
          <w:i/>
          <w:iCs/>
          <w:color w:val="000000" w:themeColor="text1"/>
          <w:sz w:val="22"/>
          <w:szCs w:val="22"/>
        </w:rPr>
      </w:pPr>
      <w:r w:rsidRPr="6AE72285">
        <w:rPr>
          <w:rFonts w:ascii="Arial" w:eastAsia="Arial" w:hAnsi="Arial" w:cs="Arial"/>
          <w:i/>
          <w:iCs/>
          <w:color w:val="000000" w:themeColor="text1"/>
          <w:sz w:val="22"/>
          <w:szCs w:val="22"/>
        </w:rPr>
        <w:t xml:space="preserve">El exclusivo encuentro ejecutivo contó con la presencia de </w:t>
      </w:r>
      <w:proofErr w:type="spellStart"/>
      <w:r w:rsidRPr="6AE72285">
        <w:rPr>
          <w:rFonts w:ascii="Arial" w:eastAsia="Arial" w:hAnsi="Arial" w:cs="Arial"/>
          <w:i/>
          <w:iCs/>
          <w:color w:val="000000" w:themeColor="text1"/>
          <w:sz w:val="22"/>
          <w:szCs w:val="22"/>
        </w:rPr>
        <w:t>Jonas</w:t>
      </w:r>
      <w:proofErr w:type="spellEnd"/>
      <w:r w:rsidRPr="6AE72285">
        <w:rPr>
          <w:rFonts w:ascii="Arial" w:eastAsia="Arial" w:hAnsi="Arial" w:cs="Arial"/>
          <w:i/>
          <w:iCs/>
          <w:color w:val="000000" w:themeColor="text1"/>
          <w:sz w:val="22"/>
          <w:szCs w:val="22"/>
        </w:rPr>
        <w:t xml:space="preserve"> Prising, CEO mundial de la compañía de RR.HH.</w:t>
      </w:r>
    </w:p>
    <w:p w14:paraId="27884F88" w14:textId="65ECB8A4" w:rsidR="00513BD1" w:rsidRPr="0058525F" w:rsidRDefault="00513BD1" w:rsidP="6AE72285">
      <w:pPr>
        <w:pStyle w:val="Poromisin"/>
        <w:spacing w:before="120"/>
        <w:ind w:left="66"/>
        <w:jc w:val="both"/>
        <w:rPr>
          <w:rFonts w:ascii="Arial" w:eastAsia="Arial" w:hAnsi="Arial" w:cs="Arial"/>
          <w:i/>
          <w:iCs/>
          <w:sz w:val="22"/>
          <w:szCs w:val="22"/>
        </w:rPr>
      </w:pPr>
    </w:p>
    <w:p w14:paraId="6ED95A32" w14:textId="7BCA3C87" w:rsidR="548BC727" w:rsidRPr="0016101E" w:rsidRDefault="548BC727" w:rsidP="6AE72285">
      <w:pPr>
        <w:pStyle w:val="Poromisin"/>
        <w:spacing w:before="120"/>
        <w:jc w:val="both"/>
        <w:rPr>
          <w:rFonts w:ascii="Arial" w:hAnsi="Arial" w:cs="Arial"/>
        </w:rPr>
      </w:pPr>
      <w:r w:rsidRPr="0016101E">
        <w:rPr>
          <w:rFonts w:ascii="Arial" w:eastAsia="Arial" w:hAnsi="Arial" w:cs="Arial"/>
          <w:b/>
          <w:bCs/>
          <w:sz w:val="22"/>
          <w:szCs w:val="22"/>
        </w:rPr>
        <w:t xml:space="preserve">Madrid, </w:t>
      </w:r>
      <w:r w:rsidR="7661205C" w:rsidRPr="0016101E">
        <w:rPr>
          <w:rFonts w:ascii="Arial" w:eastAsia="Arial" w:hAnsi="Arial" w:cs="Arial"/>
          <w:b/>
          <w:bCs/>
          <w:sz w:val="22"/>
          <w:szCs w:val="22"/>
        </w:rPr>
        <w:t>29</w:t>
      </w:r>
      <w:r w:rsidRPr="0016101E">
        <w:rPr>
          <w:rFonts w:ascii="Arial" w:eastAsia="Arial" w:hAnsi="Arial" w:cs="Arial"/>
          <w:b/>
          <w:bCs/>
          <w:sz w:val="22"/>
          <w:szCs w:val="22"/>
        </w:rPr>
        <w:t xml:space="preserve"> de </w:t>
      </w:r>
      <w:r w:rsidR="01835DC6" w:rsidRPr="0016101E">
        <w:rPr>
          <w:rFonts w:ascii="Arial" w:eastAsia="Arial" w:hAnsi="Arial" w:cs="Arial"/>
          <w:b/>
          <w:bCs/>
          <w:sz w:val="22"/>
          <w:szCs w:val="22"/>
        </w:rPr>
        <w:t>abril</w:t>
      </w:r>
      <w:r w:rsidR="2C0F753C" w:rsidRPr="0016101E">
        <w:rPr>
          <w:rFonts w:ascii="Arial" w:eastAsia="Arial" w:hAnsi="Arial" w:cs="Arial"/>
          <w:b/>
          <w:bCs/>
          <w:sz w:val="22"/>
          <w:szCs w:val="22"/>
        </w:rPr>
        <w:t xml:space="preserve"> </w:t>
      </w:r>
      <w:r w:rsidRPr="0016101E">
        <w:rPr>
          <w:rFonts w:ascii="Arial" w:eastAsia="Arial" w:hAnsi="Arial" w:cs="Arial"/>
          <w:b/>
          <w:bCs/>
          <w:sz w:val="22"/>
          <w:szCs w:val="22"/>
        </w:rPr>
        <w:t>de 202</w:t>
      </w:r>
      <w:r w:rsidR="613C8967" w:rsidRPr="0016101E">
        <w:rPr>
          <w:rFonts w:ascii="Arial" w:eastAsia="Arial" w:hAnsi="Arial" w:cs="Arial"/>
          <w:b/>
          <w:bCs/>
          <w:sz w:val="22"/>
          <w:szCs w:val="22"/>
        </w:rPr>
        <w:t>6</w:t>
      </w:r>
      <w:r w:rsidR="4255FBEE" w:rsidRPr="0016101E">
        <w:rPr>
          <w:rFonts w:ascii="Arial" w:eastAsia="Arial" w:hAnsi="Arial" w:cs="Arial"/>
          <w:b/>
          <w:bCs/>
          <w:sz w:val="22"/>
          <w:szCs w:val="22"/>
        </w:rPr>
        <w:t>.</w:t>
      </w:r>
      <w:bookmarkStart w:id="7" w:name="_Hlk90222956"/>
      <w:bookmarkStart w:id="8" w:name="_Hlk90207554"/>
      <w:bookmarkStart w:id="9" w:name="_Hlk161068777"/>
      <w:bookmarkEnd w:id="1"/>
      <w:bookmarkEnd w:id="2"/>
      <w:bookmarkEnd w:id="3"/>
      <w:bookmarkEnd w:id="4"/>
      <w:bookmarkEnd w:id="5"/>
      <w:bookmarkEnd w:id="6"/>
      <w:r w:rsidR="0A8900B7" w:rsidRPr="0016101E">
        <w:rPr>
          <w:rFonts w:ascii="Arial" w:eastAsia="Arial" w:hAnsi="Arial" w:cs="Arial"/>
          <w:b/>
          <w:bCs/>
          <w:sz w:val="22"/>
          <w:szCs w:val="22"/>
        </w:rPr>
        <w:t>-</w:t>
      </w:r>
      <w:r w:rsidR="19F22A99" w:rsidRPr="0016101E">
        <w:rPr>
          <w:rFonts w:ascii="Arial" w:eastAsia="Arial" w:hAnsi="Arial" w:cs="Arial"/>
          <w:b/>
          <w:bCs/>
          <w:sz w:val="22"/>
          <w:szCs w:val="22"/>
        </w:rPr>
        <w:t xml:space="preserve"> </w:t>
      </w:r>
      <w:r w:rsidR="2BAF725E" w:rsidRPr="0016101E">
        <w:rPr>
          <w:rFonts w:ascii="Arial" w:eastAsia="Arial" w:hAnsi="Arial" w:cs="Arial"/>
          <w:color w:val="000000" w:themeColor="text1"/>
          <w:sz w:val="22"/>
          <w:szCs w:val="22"/>
        </w:rPr>
        <w:t>La incertidumbre</w:t>
      </w:r>
      <w:r w:rsidR="2BAF725E" w:rsidRPr="0016101E">
        <w:rPr>
          <w:rFonts w:ascii="Arial" w:eastAsia="Arial" w:hAnsi="Arial" w:cs="Arial"/>
          <w:b/>
          <w:bCs/>
          <w:color w:val="000000" w:themeColor="text1"/>
          <w:sz w:val="22"/>
          <w:szCs w:val="22"/>
        </w:rPr>
        <w:t xml:space="preserve"> </w:t>
      </w:r>
      <w:r w:rsidR="2BAF725E" w:rsidRPr="0016101E">
        <w:rPr>
          <w:rFonts w:ascii="Arial" w:eastAsia="Arial" w:hAnsi="Arial" w:cs="Arial"/>
          <w:color w:val="000000" w:themeColor="text1"/>
          <w:sz w:val="22"/>
          <w:szCs w:val="22"/>
        </w:rPr>
        <w:t>se ha consolidado como el contexto estructural en el que operan hoy las empresas, un entorno marcado por un ritmo de cambio acelerado que exige reflexión y transformaciones en la toma de decisiones estratégicas. Con el objetivo de invitar a dicha reflexión y de propiciar el análisis y el debate, ManpowerGroup ha reunido este martes en Madrid a algunos de los principales líderes empresariales y expertos en el ámbito económico y tecnológico.</w:t>
      </w:r>
    </w:p>
    <w:p w14:paraId="19C0982C" w14:textId="0335677A" w:rsidR="53107955" w:rsidRPr="0016101E" w:rsidRDefault="53107955" w:rsidP="6AE72285">
      <w:pPr>
        <w:spacing w:before="120" w:line="288" w:lineRule="auto"/>
        <w:jc w:val="both"/>
        <w:rPr>
          <w:rFonts w:ascii="Arial" w:eastAsia="Arial" w:hAnsi="Arial" w:cs="Arial"/>
          <w:color w:val="000000" w:themeColor="text1"/>
          <w:sz w:val="22"/>
          <w:szCs w:val="22"/>
        </w:rPr>
      </w:pPr>
      <w:r w:rsidRPr="0016101E">
        <w:rPr>
          <w:rFonts w:ascii="Arial" w:eastAsia="Arial" w:hAnsi="Arial" w:cs="Arial"/>
          <w:color w:val="000000" w:themeColor="text1"/>
          <w:sz w:val="22"/>
          <w:szCs w:val="22"/>
        </w:rPr>
        <w:t>L</w:t>
      </w:r>
      <w:r w:rsidR="2BAF725E" w:rsidRPr="0016101E">
        <w:rPr>
          <w:rFonts w:ascii="Arial" w:eastAsia="Arial" w:hAnsi="Arial" w:cs="Arial"/>
          <w:color w:val="000000" w:themeColor="text1"/>
          <w:sz w:val="22"/>
          <w:szCs w:val="22"/>
        </w:rPr>
        <w:t xml:space="preserve">os invitados al encuentro subrayaron la necesidad de un nuevo liderazgo capaz de </w:t>
      </w:r>
      <w:r w:rsidR="24D69BC4" w:rsidRPr="0016101E">
        <w:rPr>
          <w:rFonts w:ascii="Arial" w:eastAsia="Arial" w:hAnsi="Arial" w:cs="Arial"/>
          <w:color w:val="000000" w:themeColor="text1"/>
          <w:sz w:val="22"/>
          <w:szCs w:val="22"/>
        </w:rPr>
        <w:t>gestionar,</w:t>
      </w:r>
      <w:r w:rsidR="2BAF725E" w:rsidRPr="0016101E">
        <w:rPr>
          <w:rFonts w:ascii="Arial" w:eastAsia="Arial" w:hAnsi="Arial" w:cs="Arial"/>
          <w:color w:val="000000" w:themeColor="text1"/>
          <w:sz w:val="22"/>
          <w:szCs w:val="22"/>
        </w:rPr>
        <w:t xml:space="preserve"> pero también de decidir con determinación, fomentar el diálogo y asumir riesgos</w:t>
      </w:r>
      <w:r w:rsidR="07FE952D" w:rsidRPr="0016101E">
        <w:rPr>
          <w:rFonts w:ascii="Arial" w:eastAsia="Arial" w:hAnsi="Arial" w:cs="Arial"/>
          <w:color w:val="000000" w:themeColor="text1"/>
          <w:sz w:val="22"/>
          <w:szCs w:val="22"/>
        </w:rPr>
        <w:t xml:space="preserve"> en un escenario marcado por la fragmentación económica, el aumento de las tensiones geopolíticas, el rápido avance de la inteligencia artificial y la profunda transformación del mercado laboral.</w:t>
      </w:r>
    </w:p>
    <w:p w14:paraId="248E38A8" w14:textId="4B602C31"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La apertura del encuentro estuvo a cargo de </w:t>
      </w:r>
      <w:r w:rsidRPr="0016101E">
        <w:rPr>
          <w:rFonts w:ascii="Arial" w:eastAsia="Arial" w:hAnsi="Arial" w:cs="Arial"/>
          <w:b/>
          <w:bCs/>
          <w:color w:val="000000" w:themeColor="text1"/>
          <w:sz w:val="22"/>
          <w:szCs w:val="22"/>
        </w:rPr>
        <w:t>Raúl Sánchez, CEO de ManpowerGroup España</w:t>
      </w:r>
      <w:r w:rsidRPr="0016101E">
        <w:rPr>
          <w:rFonts w:ascii="Arial" w:eastAsia="Arial" w:hAnsi="Arial" w:cs="Arial"/>
          <w:color w:val="000000" w:themeColor="text1"/>
          <w:sz w:val="22"/>
          <w:szCs w:val="22"/>
        </w:rPr>
        <w:t>, quien destacó que “</w:t>
      </w:r>
      <w:r w:rsidRPr="0016101E">
        <w:rPr>
          <w:rFonts w:ascii="Arial" w:eastAsia="Arial" w:hAnsi="Arial" w:cs="Arial"/>
          <w:i/>
          <w:iCs/>
          <w:color w:val="000000" w:themeColor="text1"/>
          <w:sz w:val="22"/>
          <w:szCs w:val="22"/>
        </w:rPr>
        <w:t>liderar hoy no consiste en tener todas las respuestas, sino en generar las conversaciones adecuadas</w:t>
      </w:r>
      <w:r w:rsidRPr="0016101E">
        <w:rPr>
          <w:rFonts w:ascii="Arial" w:eastAsia="Arial" w:hAnsi="Arial" w:cs="Arial"/>
          <w:color w:val="000000" w:themeColor="text1"/>
          <w:sz w:val="22"/>
          <w:szCs w:val="22"/>
        </w:rPr>
        <w:t>”. Esta reflexión marcó el tono de una jornada centrada en el intercambio de ideas y en la construcción colectiva de soluciones.</w:t>
      </w:r>
    </w:p>
    <w:p w14:paraId="7206014C" w14:textId="7E0B90AA"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La sesión se enmarca en la iniciativa ‘</w:t>
      </w:r>
      <w:r w:rsidRPr="0016101E">
        <w:rPr>
          <w:rFonts w:ascii="Arial" w:eastAsia="Arial" w:hAnsi="Arial" w:cs="Arial"/>
          <w:b/>
          <w:bCs/>
          <w:i/>
          <w:iCs/>
          <w:color w:val="000000" w:themeColor="text1"/>
          <w:sz w:val="22"/>
          <w:szCs w:val="22"/>
        </w:rPr>
        <w:t>The Exchange</w:t>
      </w:r>
      <w:r w:rsidRPr="0016101E">
        <w:rPr>
          <w:rFonts w:ascii="Arial" w:eastAsia="Arial" w:hAnsi="Arial" w:cs="Arial"/>
          <w:i/>
          <w:iCs/>
          <w:color w:val="000000" w:themeColor="text1"/>
          <w:sz w:val="22"/>
          <w:szCs w:val="22"/>
        </w:rPr>
        <w:t>’</w:t>
      </w:r>
      <w:r w:rsidRPr="0016101E">
        <w:rPr>
          <w:rFonts w:ascii="Arial" w:eastAsia="Arial" w:hAnsi="Arial" w:cs="Arial"/>
          <w:color w:val="000000" w:themeColor="text1"/>
          <w:sz w:val="22"/>
          <w:szCs w:val="22"/>
        </w:rPr>
        <w:t>, una serie de eventos organizados por ManpowerGroup a nivel global y concebidos como espacio de diálogo entre líderes empresariales en un contexto en el que las decisiones corporativas tienen un impacto creciente que trasciende el ámbito financiero.</w:t>
      </w:r>
    </w:p>
    <w:p w14:paraId="7385A092" w14:textId="12220328"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 </w:t>
      </w:r>
    </w:p>
    <w:p w14:paraId="3A0AA476" w14:textId="7C73954E" w:rsidR="2BAF725E" w:rsidRPr="0016101E" w:rsidRDefault="2BAF725E" w:rsidP="6AE72285">
      <w:pPr>
        <w:spacing w:before="120" w:line="288" w:lineRule="auto"/>
        <w:jc w:val="both"/>
        <w:rPr>
          <w:rFonts w:ascii="Arial" w:hAnsi="Arial" w:cs="Arial"/>
        </w:rPr>
      </w:pPr>
      <w:r w:rsidRPr="0016101E">
        <w:rPr>
          <w:rFonts w:ascii="Arial" w:eastAsia="Arial" w:hAnsi="Arial" w:cs="Arial"/>
          <w:b/>
          <w:bCs/>
          <w:color w:val="000000" w:themeColor="text1"/>
          <w:sz w:val="22"/>
          <w:szCs w:val="22"/>
        </w:rPr>
        <w:t>Geopolítica e inteligencia artificial: la tecnología entra en conflicto</w:t>
      </w:r>
    </w:p>
    <w:p w14:paraId="321AD01D" w14:textId="2C4E2128" w:rsidR="2BAF725E" w:rsidRPr="0016101E" w:rsidRDefault="2BAF725E" w:rsidP="6AE72285">
      <w:pPr>
        <w:spacing w:before="120" w:line="288" w:lineRule="auto"/>
        <w:jc w:val="both"/>
        <w:rPr>
          <w:rFonts w:ascii="Arial" w:hAnsi="Arial" w:cs="Arial"/>
        </w:rPr>
      </w:pPr>
      <w:r w:rsidRPr="0016101E">
        <w:rPr>
          <w:rFonts w:ascii="Arial" w:eastAsia="Arial" w:hAnsi="Arial" w:cs="Arial"/>
          <w:sz w:val="22"/>
          <w:szCs w:val="22"/>
        </w:rPr>
        <w:t xml:space="preserve">La primera mesa redonda del encuentro puso el foco en uno de los grandes vectores de transformación del contexto global: la confluencia entre geopolítica e inteligencia artificial, en un momento en el que los conflictos internacionales y la disrupción tecnológica avanzan de forma simultánea y acelerada. El diálogo reunió a </w:t>
      </w:r>
      <w:r w:rsidRPr="0016101E">
        <w:rPr>
          <w:rFonts w:ascii="Arial" w:eastAsia="Arial" w:hAnsi="Arial" w:cs="Arial"/>
          <w:b/>
          <w:bCs/>
          <w:sz w:val="22"/>
          <w:szCs w:val="22"/>
        </w:rPr>
        <w:t>Carme Artigas</w:t>
      </w:r>
      <w:r w:rsidRPr="0016101E">
        <w:rPr>
          <w:rFonts w:ascii="Arial" w:eastAsia="Arial" w:hAnsi="Arial" w:cs="Arial"/>
          <w:sz w:val="22"/>
          <w:szCs w:val="22"/>
        </w:rPr>
        <w:t xml:space="preserve">, ex </w:t>
      </w:r>
      <w:r w:rsidR="29E53176" w:rsidRPr="0016101E">
        <w:rPr>
          <w:rFonts w:ascii="Arial" w:eastAsia="Arial" w:hAnsi="Arial" w:cs="Arial"/>
          <w:sz w:val="22"/>
          <w:szCs w:val="22"/>
        </w:rPr>
        <w:t>secretaria</w:t>
      </w:r>
      <w:r w:rsidRPr="0016101E">
        <w:rPr>
          <w:rFonts w:ascii="Arial" w:eastAsia="Arial" w:hAnsi="Arial" w:cs="Arial"/>
          <w:sz w:val="22"/>
          <w:szCs w:val="22"/>
        </w:rPr>
        <w:t xml:space="preserve"> de Estado de </w:t>
      </w:r>
      <w:r w:rsidRPr="0016101E">
        <w:rPr>
          <w:rFonts w:ascii="Arial" w:eastAsia="Arial" w:hAnsi="Arial" w:cs="Arial"/>
          <w:sz w:val="22"/>
          <w:szCs w:val="22"/>
        </w:rPr>
        <w:lastRenderedPageBreak/>
        <w:t xml:space="preserve">Digitalización e Inteligencia Artificial del Gobierno de España y una de las voces europeas más influyentes en el debate global sobre IA, </w:t>
      </w:r>
      <w:proofErr w:type="spellStart"/>
      <w:r w:rsidRPr="0016101E">
        <w:rPr>
          <w:rFonts w:ascii="Arial" w:eastAsia="Arial" w:hAnsi="Arial" w:cs="Arial"/>
          <w:i/>
          <w:iCs/>
          <w:sz w:val="22"/>
          <w:szCs w:val="22"/>
        </w:rPr>
        <w:t>big</w:t>
      </w:r>
      <w:proofErr w:type="spellEnd"/>
      <w:r w:rsidRPr="0016101E">
        <w:rPr>
          <w:rFonts w:ascii="Arial" w:eastAsia="Arial" w:hAnsi="Arial" w:cs="Arial"/>
          <w:i/>
          <w:iCs/>
          <w:sz w:val="22"/>
          <w:szCs w:val="22"/>
        </w:rPr>
        <w:t xml:space="preserve"> data</w:t>
      </w:r>
      <w:r w:rsidRPr="0016101E">
        <w:rPr>
          <w:rFonts w:ascii="Arial" w:eastAsia="Arial" w:hAnsi="Arial" w:cs="Arial"/>
          <w:sz w:val="22"/>
          <w:szCs w:val="22"/>
        </w:rPr>
        <w:t xml:space="preserve"> y gobernanza digital, y al </w:t>
      </w:r>
      <w:r w:rsidRPr="0016101E">
        <w:rPr>
          <w:rFonts w:ascii="Arial" w:eastAsia="Arial" w:hAnsi="Arial" w:cs="Arial"/>
          <w:b/>
          <w:bCs/>
          <w:sz w:val="22"/>
          <w:szCs w:val="22"/>
        </w:rPr>
        <w:t>teniente general Fernando García González</w:t>
      </w:r>
      <w:r w:rsidR="2C829B42" w:rsidRPr="0016101E">
        <w:rPr>
          <w:rFonts w:ascii="Arial" w:eastAsia="Arial" w:hAnsi="Arial" w:cs="Arial"/>
          <w:b/>
          <w:bCs/>
          <w:sz w:val="22"/>
          <w:szCs w:val="22"/>
        </w:rPr>
        <w:t>-</w:t>
      </w:r>
      <w:r w:rsidRPr="0016101E">
        <w:rPr>
          <w:rFonts w:ascii="Arial" w:eastAsia="Arial" w:hAnsi="Arial" w:cs="Arial"/>
          <w:b/>
          <w:bCs/>
          <w:sz w:val="22"/>
          <w:szCs w:val="22"/>
        </w:rPr>
        <w:t>Valerio</w:t>
      </w:r>
      <w:r w:rsidR="1347655A" w:rsidRPr="0016101E">
        <w:rPr>
          <w:rFonts w:ascii="Arial" w:eastAsia="Arial" w:hAnsi="Arial" w:cs="Arial"/>
          <w:b/>
          <w:bCs/>
          <w:sz w:val="22"/>
          <w:szCs w:val="22"/>
        </w:rPr>
        <w:t xml:space="preserve"> (R)</w:t>
      </w:r>
      <w:r w:rsidRPr="0016101E">
        <w:rPr>
          <w:rFonts w:ascii="Arial" w:eastAsia="Arial" w:hAnsi="Arial" w:cs="Arial"/>
          <w:sz w:val="22"/>
          <w:szCs w:val="22"/>
        </w:rPr>
        <w:t>, con una extensa trayectoria en planificación estratégica y seguridad internacional.</w:t>
      </w:r>
    </w:p>
    <w:p w14:paraId="4DE576F7" w14:textId="0DA52059" w:rsidR="2BAF725E" w:rsidRPr="0016101E" w:rsidRDefault="2BAF725E" w:rsidP="6AE72285">
      <w:pPr>
        <w:spacing w:before="120" w:line="288" w:lineRule="auto"/>
        <w:jc w:val="both"/>
        <w:rPr>
          <w:rFonts w:ascii="Arial" w:hAnsi="Arial" w:cs="Arial"/>
        </w:rPr>
      </w:pPr>
      <w:r w:rsidRPr="0016101E">
        <w:rPr>
          <w:rFonts w:ascii="Arial" w:eastAsia="Arial" w:hAnsi="Arial" w:cs="Arial"/>
          <w:sz w:val="22"/>
          <w:szCs w:val="22"/>
        </w:rPr>
        <w:t>Artigas alertó de las profundas asimetrías en la adopción de la tecnología entre regiones y sectores, así como de los riesgos de delegar decisiones críticas sin un adecuado control humano. Por su parte, García González Valerio aportó una lectura geoestratégica del momento actual, recordando que los conflictos en Ucrania y Oriente Medio no son episodios aislados, sino factores que están reconfigurando alianzas, cadenas de suministro, rutas comerciales y sistemas energéticos.</w:t>
      </w:r>
    </w:p>
    <w:p w14:paraId="67ECDE10" w14:textId="694BD727" w:rsidR="2BAF725E" w:rsidRPr="0016101E" w:rsidRDefault="2BAF725E" w:rsidP="6AE72285">
      <w:pPr>
        <w:spacing w:before="120" w:line="288" w:lineRule="auto"/>
        <w:jc w:val="both"/>
        <w:rPr>
          <w:rFonts w:ascii="Arial" w:hAnsi="Arial" w:cs="Arial"/>
        </w:rPr>
      </w:pPr>
      <w:r w:rsidRPr="0016101E">
        <w:rPr>
          <w:rFonts w:ascii="Arial" w:eastAsia="Arial" w:hAnsi="Arial" w:cs="Arial"/>
          <w:sz w:val="22"/>
          <w:szCs w:val="22"/>
        </w:rPr>
        <w:t>Ambos coincidieron en que la incertidumbre se ha convertido en el nuevo estado permanente, y que tanto gobiernos como empresas deben aprender a tomar decisiones estratégicas bajo presión de tiempo y con información incompleta. El mensaje para los líderes empresariales fue claro: comprender la relación entre tecnología, geopolítica y economía ya no es opcional, sino una condición imprescindible para anticipar riesgos y sostener la competitividad en el medio plazo.</w:t>
      </w:r>
    </w:p>
    <w:p w14:paraId="0EF0F47A" w14:textId="08D7E4C6" w:rsidR="2BAF725E" w:rsidRPr="0016101E" w:rsidRDefault="2BAF725E" w:rsidP="6AE72285">
      <w:pPr>
        <w:spacing w:before="120" w:line="288" w:lineRule="auto"/>
        <w:jc w:val="both"/>
        <w:rPr>
          <w:rFonts w:ascii="Arial" w:hAnsi="Arial" w:cs="Arial"/>
        </w:rPr>
      </w:pPr>
    </w:p>
    <w:p w14:paraId="67C26F2F" w14:textId="5DBD9EA9" w:rsidR="2BAF725E" w:rsidRPr="0016101E" w:rsidRDefault="2BAF725E" w:rsidP="6AE72285">
      <w:pPr>
        <w:spacing w:before="120" w:line="288" w:lineRule="auto"/>
        <w:jc w:val="both"/>
        <w:rPr>
          <w:rFonts w:ascii="Arial" w:hAnsi="Arial" w:cs="Arial"/>
        </w:rPr>
      </w:pPr>
      <w:r w:rsidRPr="0016101E">
        <w:rPr>
          <w:rFonts w:ascii="Arial" w:eastAsia="Arial" w:hAnsi="Arial" w:cs="Arial"/>
          <w:b/>
          <w:bCs/>
          <w:sz w:val="22"/>
          <w:szCs w:val="22"/>
        </w:rPr>
        <w:t>Liderar en la complejidad: talento, confianza y decisiones bajo presión</w:t>
      </w:r>
    </w:p>
    <w:p w14:paraId="468AEC12" w14:textId="3F43165E" w:rsidR="2BAF725E" w:rsidRPr="0016101E" w:rsidRDefault="2BAF725E" w:rsidP="6AE72285">
      <w:pPr>
        <w:spacing w:before="120" w:line="288" w:lineRule="auto"/>
        <w:jc w:val="both"/>
        <w:rPr>
          <w:rFonts w:ascii="Arial" w:hAnsi="Arial" w:cs="Arial"/>
        </w:rPr>
      </w:pPr>
      <w:r w:rsidRPr="0016101E">
        <w:rPr>
          <w:rFonts w:ascii="Arial" w:eastAsia="Arial" w:hAnsi="Arial" w:cs="Arial"/>
          <w:sz w:val="22"/>
          <w:szCs w:val="22"/>
        </w:rPr>
        <w:t>La segunda conversación llevó el debate al terreno donde esas tensiones se vuelven reales: las personas, el empleo y la credibilidad del liderazgo. Bajo el título “Liderando en la complejidad”, cuatro CEO analizaron cómo gestionar organizaciones en un contexto donde la disrupción tecnológica, la volatilidad económica y la presión social ya no son conceptos abstractos, sino factores reales que impactan en las decisiones diarias.</w:t>
      </w:r>
    </w:p>
    <w:p w14:paraId="25AA85EB" w14:textId="712C47B9"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La mesa reunió a </w:t>
      </w:r>
      <w:r w:rsidRPr="0016101E">
        <w:rPr>
          <w:rFonts w:ascii="Arial" w:eastAsia="Arial" w:hAnsi="Arial" w:cs="Arial"/>
          <w:b/>
          <w:bCs/>
          <w:color w:val="000000" w:themeColor="text1"/>
          <w:sz w:val="22"/>
          <w:szCs w:val="22"/>
        </w:rPr>
        <w:t>Mercedes Oblanca</w:t>
      </w:r>
      <w:r w:rsidRPr="0016101E">
        <w:rPr>
          <w:rFonts w:ascii="Arial" w:eastAsia="Arial" w:hAnsi="Arial" w:cs="Arial"/>
          <w:color w:val="000000" w:themeColor="text1"/>
          <w:sz w:val="22"/>
          <w:szCs w:val="22"/>
        </w:rPr>
        <w:t xml:space="preserve">, </w:t>
      </w:r>
      <w:r w:rsidR="48520F16" w:rsidRPr="5DC97285">
        <w:rPr>
          <w:rFonts w:ascii="Arial" w:eastAsia="Arial" w:hAnsi="Arial" w:cs="Arial"/>
          <w:color w:val="000000" w:themeColor="text1"/>
          <w:sz w:val="22"/>
          <w:szCs w:val="22"/>
        </w:rPr>
        <w:t>p</w:t>
      </w:r>
      <w:r w:rsidR="6B227B4D" w:rsidRPr="5DC97285">
        <w:rPr>
          <w:rFonts w:ascii="Arial" w:eastAsia="Arial" w:hAnsi="Arial" w:cs="Arial"/>
          <w:color w:val="000000" w:themeColor="text1"/>
          <w:sz w:val="22"/>
          <w:szCs w:val="22"/>
        </w:rPr>
        <w:t>residenta</w:t>
      </w:r>
      <w:r w:rsidR="6B227B4D" w:rsidRPr="13FE2295">
        <w:rPr>
          <w:rFonts w:ascii="Arial" w:eastAsia="Arial" w:hAnsi="Arial" w:cs="Arial"/>
          <w:color w:val="000000" w:themeColor="text1"/>
          <w:sz w:val="22"/>
          <w:szCs w:val="22"/>
        </w:rPr>
        <w:t xml:space="preserve"> y </w:t>
      </w:r>
      <w:r w:rsidRPr="13FE2295">
        <w:rPr>
          <w:rFonts w:ascii="Arial" w:eastAsia="Arial" w:hAnsi="Arial" w:cs="Arial"/>
          <w:color w:val="000000" w:themeColor="text1"/>
          <w:sz w:val="22"/>
          <w:szCs w:val="22"/>
        </w:rPr>
        <w:t>CEO</w:t>
      </w:r>
      <w:r w:rsidRPr="0016101E">
        <w:rPr>
          <w:rFonts w:ascii="Arial" w:eastAsia="Arial" w:hAnsi="Arial" w:cs="Arial"/>
          <w:color w:val="000000" w:themeColor="text1"/>
          <w:sz w:val="22"/>
          <w:szCs w:val="22"/>
        </w:rPr>
        <w:t xml:space="preserve"> de Accenture en España y Portugal; </w:t>
      </w:r>
      <w:r w:rsidRPr="0016101E">
        <w:rPr>
          <w:rFonts w:ascii="Arial" w:eastAsia="Arial" w:hAnsi="Arial" w:cs="Arial"/>
          <w:b/>
          <w:bCs/>
          <w:color w:val="000000" w:themeColor="text1"/>
          <w:sz w:val="22"/>
          <w:szCs w:val="22"/>
        </w:rPr>
        <w:t>Ana Argelich</w:t>
      </w:r>
      <w:r w:rsidRPr="0016101E">
        <w:rPr>
          <w:rFonts w:ascii="Arial" w:eastAsia="Arial" w:hAnsi="Arial" w:cs="Arial"/>
          <w:color w:val="000000" w:themeColor="text1"/>
          <w:sz w:val="22"/>
          <w:szCs w:val="22"/>
        </w:rPr>
        <w:t xml:space="preserve">, presidenta y </w:t>
      </w:r>
      <w:r w:rsidR="1B6613FE" w:rsidRPr="697C1829">
        <w:rPr>
          <w:rFonts w:ascii="Arial" w:eastAsia="Arial" w:hAnsi="Arial" w:cs="Arial"/>
          <w:color w:val="000000" w:themeColor="text1"/>
          <w:sz w:val="22"/>
          <w:szCs w:val="22"/>
        </w:rPr>
        <w:t xml:space="preserve">directora </w:t>
      </w:r>
      <w:r w:rsidR="1B6613FE" w:rsidRPr="583B4583">
        <w:rPr>
          <w:rFonts w:ascii="Arial" w:eastAsia="Arial" w:hAnsi="Arial" w:cs="Arial"/>
          <w:color w:val="000000" w:themeColor="text1"/>
          <w:sz w:val="22"/>
          <w:szCs w:val="22"/>
        </w:rPr>
        <w:t xml:space="preserve">general </w:t>
      </w:r>
      <w:r w:rsidRPr="583B4583">
        <w:rPr>
          <w:rFonts w:ascii="Arial" w:eastAsia="Arial" w:hAnsi="Arial" w:cs="Arial"/>
          <w:color w:val="000000" w:themeColor="text1"/>
          <w:sz w:val="22"/>
          <w:szCs w:val="22"/>
        </w:rPr>
        <w:t>de</w:t>
      </w:r>
      <w:r w:rsidRPr="0016101E">
        <w:rPr>
          <w:rFonts w:ascii="Arial" w:eastAsia="Arial" w:hAnsi="Arial" w:cs="Arial"/>
          <w:color w:val="000000" w:themeColor="text1"/>
          <w:sz w:val="22"/>
          <w:szCs w:val="22"/>
        </w:rPr>
        <w:t xml:space="preserve"> MSD España; </w:t>
      </w:r>
      <w:r w:rsidRPr="0016101E">
        <w:rPr>
          <w:rFonts w:ascii="Arial" w:eastAsia="Arial" w:hAnsi="Arial" w:cs="Arial"/>
          <w:b/>
          <w:bCs/>
          <w:color w:val="000000" w:themeColor="text1"/>
          <w:sz w:val="22"/>
          <w:szCs w:val="22"/>
        </w:rPr>
        <w:t>Paco Salcedo</w:t>
      </w:r>
      <w:r w:rsidRPr="0016101E">
        <w:rPr>
          <w:rFonts w:ascii="Arial" w:eastAsia="Arial" w:hAnsi="Arial" w:cs="Arial"/>
          <w:color w:val="000000" w:themeColor="text1"/>
          <w:sz w:val="22"/>
          <w:szCs w:val="22"/>
        </w:rPr>
        <w:t xml:space="preserve">, presidente de Microsoft España; y </w:t>
      </w:r>
      <w:proofErr w:type="spellStart"/>
      <w:r w:rsidRPr="0016101E">
        <w:rPr>
          <w:rFonts w:ascii="Arial" w:eastAsia="Arial" w:hAnsi="Arial" w:cs="Arial"/>
          <w:b/>
          <w:bCs/>
          <w:color w:val="000000" w:themeColor="text1"/>
          <w:sz w:val="22"/>
          <w:szCs w:val="22"/>
        </w:rPr>
        <w:t>Jonas</w:t>
      </w:r>
      <w:proofErr w:type="spellEnd"/>
      <w:r w:rsidRPr="0016101E">
        <w:rPr>
          <w:rFonts w:ascii="Arial" w:eastAsia="Arial" w:hAnsi="Arial" w:cs="Arial"/>
          <w:b/>
          <w:bCs/>
          <w:color w:val="000000" w:themeColor="text1"/>
          <w:sz w:val="22"/>
          <w:szCs w:val="22"/>
        </w:rPr>
        <w:t xml:space="preserve"> Prising</w:t>
      </w:r>
      <w:r w:rsidRPr="0016101E">
        <w:rPr>
          <w:rFonts w:ascii="Arial" w:eastAsia="Arial" w:hAnsi="Arial" w:cs="Arial"/>
          <w:color w:val="000000" w:themeColor="text1"/>
          <w:sz w:val="22"/>
          <w:szCs w:val="22"/>
        </w:rPr>
        <w:t>, presidente y CEO global de ManpowerGroup, aportando visiones complementarias desde la tecnología, la salud y el mercado laboral global.</w:t>
      </w:r>
    </w:p>
    <w:p w14:paraId="606FA7E1" w14:textId="07A07800" w:rsidR="00290FBF" w:rsidRDefault="2BAF725E" w:rsidP="6AE72285">
      <w:pPr>
        <w:spacing w:before="120" w:line="288" w:lineRule="auto"/>
        <w:jc w:val="both"/>
        <w:rPr>
          <w:rFonts w:ascii="Arial" w:eastAsia="Arial" w:hAnsi="Arial" w:cs="Arial"/>
          <w:color w:val="000000" w:themeColor="text1"/>
          <w:sz w:val="22"/>
          <w:szCs w:val="22"/>
        </w:rPr>
      </w:pPr>
      <w:r w:rsidRPr="00110615">
        <w:rPr>
          <w:rFonts w:ascii="Arial" w:eastAsia="Arial" w:hAnsi="Arial" w:cs="Arial"/>
          <w:color w:val="000000" w:themeColor="text1"/>
          <w:sz w:val="22"/>
          <w:szCs w:val="22"/>
        </w:rPr>
        <w:t xml:space="preserve">Uno de los consensos más claros fue que la transformación empresarial avanza hoy a un ritmo sin precedentes. </w:t>
      </w:r>
      <w:r w:rsidR="00FA4611" w:rsidRPr="00110615">
        <w:rPr>
          <w:rFonts w:ascii="Arial" w:eastAsia="Arial" w:hAnsi="Arial" w:cs="Arial"/>
          <w:color w:val="000000" w:themeColor="text1"/>
          <w:sz w:val="22"/>
          <w:szCs w:val="22"/>
        </w:rPr>
        <w:t xml:space="preserve">En este sentido, Mercedes </w:t>
      </w:r>
      <w:proofErr w:type="spellStart"/>
      <w:r w:rsidR="00FA4611" w:rsidRPr="00110615">
        <w:rPr>
          <w:rFonts w:ascii="Arial" w:eastAsia="Arial" w:hAnsi="Arial" w:cs="Arial"/>
          <w:color w:val="000000" w:themeColor="text1"/>
          <w:sz w:val="22"/>
          <w:szCs w:val="22"/>
        </w:rPr>
        <w:t>Oblanca</w:t>
      </w:r>
      <w:proofErr w:type="spellEnd"/>
      <w:r w:rsidR="00FA4611" w:rsidRPr="00110615">
        <w:rPr>
          <w:rFonts w:ascii="Arial" w:eastAsia="Arial" w:hAnsi="Arial" w:cs="Arial"/>
          <w:color w:val="000000" w:themeColor="text1"/>
          <w:sz w:val="22"/>
          <w:szCs w:val="22"/>
        </w:rPr>
        <w:t xml:space="preserve"> subrayó </w:t>
      </w:r>
      <w:r w:rsidR="00290FBF">
        <w:rPr>
          <w:rFonts w:ascii="Arial" w:eastAsia="Arial" w:hAnsi="Arial" w:cs="Arial"/>
          <w:color w:val="000000" w:themeColor="text1"/>
          <w:sz w:val="22"/>
          <w:szCs w:val="22"/>
        </w:rPr>
        <w:t xml:space="preserve">que </w:t>
      </w:r>
      <w:r w:rsidR="00A35C1D">
        <w:rPr>
          <w:rFonts w:ascii="Arial" w:eastAsia="Arial" w:hAnsi="Arial" w:cs="Arial"/>
          <w:color w:val="000000" w:themeColor="text1"/>
          <w:sz w:val="22"/>
          <w:szCs w:val="22"/>
        </w:rPr>
        <w:t>“</w:t>
      </w:r>
      <w:r w:rsidR="00E163F2">
        <w:rPr>
          <w:rFonts w:ascii="Arial" w:eastAsia="Arial" w:hAnsi="Arial" w:cs="Arial"/>
          <w:b/>
          <w:bCs/>
          <w:i/>
          <w:iCs/>
          <w:color w:val="000000" w:themeColor="text1"/>
          <w:sz w:val="22"/>
          <w:szCs w:val="22"/>
        </w:rPr>
        <w:t xml:space="preserve">el potencial de la IA </w:t>
      </w:r>
      <w:proofErr w:type="spellStart"/>
      <w:r w:rsidR="00E163F2">
        <w:rPr>
          <w:rFonts w:ascii="Arial" w:eastAsia="Arial" w:hAnsi="Arial" w:cs="Arial"/>
          <w:b/>
          <w:bCs/>
          <w:i/>
          <w:iCs/>
          <w:color w:val="000000" w:themeColor="text1"/>
          <w:sz w:val="22"/>
          <w:szCs w:val="22"/>
        </w:rPr>
        <w:t>agéntica</w:t>
      </w:r>
      <w:proofErr w:type="spellEnd"/>
      <w:r w:rsidR="00E163F2">
        <w:rPr>
          <w:rFonts w:ascii="Arial" w:eastAsia="Arial" w:hAnsi="Arial" w:cs="Arial"/>
          <w:b/>
          <w:bCs/>
          <w:i/>
          <w:iCs/>
          <w:color w:val="000000" w:themeColor="text1"/>
          <w:sz w:val="22"/>
          <w:szCs w:val="22"/>
        </w:rPr>
        <w:t xml:space="preserve"> para generar valor</w:t>
      </w:r>
      <w:r w:rsidR="00290FBF" w:rsidRPr="004A226E">
        <w:rPr>
          <w:rFonts w:ascii="Arial" w:eastAsia="Arial" w:hAnsi="Arial" w:cs="Arial"/>
          <w:b/>
          <w:bCs/>
          <w:i/>
          <w:iCs/>
          <w:color w:val="000000" w:themeColor="text1"/>
          <w:sz w:val="22"/>
          <w:szCs w:val="22"/>
        </w:rPr>
        <w:t xml:space="preserve"> es extraordinario, siempre que seamos capaces de integrarla de manera segura y responsable en los modelos operativos de las organizaciones</w:t>
      </w:r>
      <w:r w:rsidR="00290FBF" w:rsidRPr="00505122">
        <w:rPr>
          <w:rFonts w:ascii="Arial" w:eastAsia="Arial" w:hAnsi="Arial" w:cs="Arial"/>
          <w:i/>
          <w:iCs/>
          <w:color w:val="000000" w:themeColor="text1"/>
          <w:sz w:val="22"/>
          <w:szCs w:val="22"/>
        </w:rPr>
        <w:t xml:space="preserve">. Esto abre un nuevo paradigma de colaboración y </w:t>
      </w:r>
      <w:proofErr w:type="spellStart"/>
      <w:r w:rsidR="00290FBF" w:rsidRPr="00505122">
        <w:rPr>
          <w:rFonts w:ascii="Arial" w:eastAsia="Arial" w:hAnsi="Arial" w:cs="Arial"/>
          <w:i/>
          <w:iCs/>
          <w:color w:val="000000" w:themeColor="text1"/>
          <w:sz w:val="22"/>
          <w:szCs w:val="22"/>
        </w:rPr>
        <w:t>co-inteligencia</w:t>
      </w:r>
      <w:proofErr w:type="spellEnd"/>
      <w:r w:rsidR="00290FBF" w:rsidRPr="00505122">
        <w:rPr>
          <w:rFonts w:ascii="Arial" w:eastAsia="Arial" w:hAnsi="Arial" w:cs="Arial"/>
          <w:i/>
          <w:iCs/>
          <w:color w:val="000000" w:themeColor="text1"/>
          <w:sz w:val="22"/>
          <w:szCs w:val="22"/>
        </w:rPr>
        <w:t xml:space="preserve"> humano-agente, en el que la capacitación de las personas y el rediseño del trabajo, tal y como hoy lo conocemos, se convierten en un imperativo para la economía y la sociedad</w:t>
      </w:r>
      <w:r w:rsidR="00A35C1D">
        <w:rPr>
          <w:rFonts w:ascii="Arial" w:eastAsia="Arial" w:hAnsi="Arial" w:cs="Arial"/>
          <w:color w:val="000000" w:themeColor="text1"/>
          <w:sz w:val="22"/>
          <w:szCs w:val="22"/>
        </w:rPr>
        <w:t>”</w:t>
      </w:r>
      <w:r w:rsidR="00290FBF" w:rsidRPr="00290FBF">
        <w:rPr>
          <w:rFonts w:ascii="Arial" w:eastAsia="Arial" w:hAnsi="Arial" w:cs="Arial"/>
          <w:color w:val="000000" w:themeColor="text1"/>
          <w:sz w:val="22"/>
          <w:szCs w:val="22"/>
        </w:rPr>
        <w:t>.</w:t>
      </w:r>
    </w:p>
    <w:p w14:paraId="5D328F4F" w14:textId="050D0B1A" w:rsidR="02C1B21A" w:rsidRPr="0016101E" w:rsidRDefault="02C1B21A"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Desde el ámbito tecnológico, Paco Salcedo destacó que la adopción de la IA exige combinar innovación con responsabilidad, y que el verdadero desafío para las organizaciones </w:t>
      </w:r>
      <w:r w:rsidRPr="0016101E">
        <w:rPr>
          <w:rFonts w:ascii="Arial" w:eastAsia="Arial" w:hAnsi="Arial" w:cs="Arial"/>
          <w:b/>
          <w:bCs/>
          <w:color w:val="000000" w:themeColor="text1"/>
          <w:sz w:val="22"/>
          <w:szCs w:val="22"/>
        </w:rPr>
        <w:t xml:space="preserve">no es únicamente desplegar la tecnología a escala, sino hacerlo protegiendo la seguridad y </w:t>
      </w:r>
      <w:r w:rsidRPr="0016101E">
        <w:rPr>
          <w:rFonts w:ascii="Arial" w:eastAsia="Arial" w:hAnsi="Arial" w:cs="Arial"/>
          <w:b/>
          <w:bCs/>
          <w:color w:val="000000" w:themeColor="text1"/>
          <w:sz w:val="22"/>
          <w:szCs w:val="22"/>
        </w:rPr>
        <w:lastRenderedPageBreak/>
        <w:t xml:space="preserve">la privacidad, promoviendo la transparencia y la equidad y, sobre todo, reforzando la confianza </w:t>
      </w:r>
      <w:r w:rsidRPr="0016101E">
        <w:rPr>
          <w:rFonts w:ascii="Arial" w:eastAsia="Arial" w:hAnsi="Arial" w:cs="Arial"/>
          <w:color w:val="000000" w:themeColor="text1"/>
          <w:sz w:val="22"/>
          <w:szCs w:val="22"/>
        </w:rPr>
        <w:t>de empleados, clientes y de la sociedad en su conjunto.</w:t>
      </w:r>
    </w:p>
    <w:p w14:paraId="2476A1B6" w14:textId="3E87EC6B" w:rsidR="2BAF725E" w:rsidRPr="00FA4611" w:rsidRDefault="2BAF725E" w:rsidP="6AE72285">
      <w:pPr>
        <w:spacing w:before="120" w:line="288" w:lineRule="auto"/>
        <w:jc w:val="both"/>
        <w:rPr>
          <w:rFonts w:ascii="Arial" w:hAnsi="Arial" w:cs="Arial"/>
        </w:rPr>
      </w:pPr>
      <w:r w:rsidRPr="00FA4611">
        <w:rPr>
          <w:rFonts w:ascii="Arial" w:eastAsia="Arial" w:hAnsi="Arial" w:cs="Arial"/>
          <w:color w:val="000000" w:themeColor="text1"/>
          <w:sz w:val="22"/>
          <w:szCs w:val="22"/>
        </w:rPr>
        <w:t xml:space="preserve">Por su parte, Ana Argelich subrayó que, en entornos altamente regulados y basados en la ciencia, </w:t>
      </w:r>
      <w:r w:rsidRPr="00FA4611">
        <w:rPr>
          <w:rFonts w:ascii="Arial" w:eastAsia="Arial" w:hAnsi="Arial" w:cs="Arial"/>
          <w:b/>
          <w:bCs/>
          <w:color w:val="000000" w:themeColor="text1"/>
          <w:sz w:val="22"/>
          <w:szCs w:val="22"/>
        </w:rPr>
        <w:t>la confianza es un activo crítico</w:t>
      </w:r>
      <w:r w:rsidRPr="00FA4611">
        <w:rPr>
          <w:rFonts w:ascii="Arial" w:eastAsia="Arial" w:hAnsi="Arial" w:cs="Arial"/>
          <w:color w:val="000000" w:themeColor="text1"/>
          <w:sz w:val="22"/>
          <w:szCs w:val="22"/>
        </w:rPr>
        <w:t>. La adopción de nuevas tecnologías debe ir acompañada de un fuerte compromiso ético, desarrollo del talento y una visión a largo plazo que conecte el propósito empresarial con el impacto social.</w:t>
      </w:r>
    </w:p>
    <w:p w14:paraId="69FF974A" w14:textId="572CBE04" w:rsidR="00FD4EA4" w:rsidRPr="00FD4EA4" w:rsidRDefault="00FD4EA4" w:rsidP="00FD4EA4">
      <w:pPr>
        <w:spacing w:before="120" w:line="288" w:lineRule="auto"/>
        <w:jc w:val="both"/>
        <w:rPr>
          <w:rFonts w:ascii="Arial" w:eastAsia="Arial" w:hAnsi="Arial" w:cs="Arial"/>
          <w:color w:val="000000" w:themeColor="text1"/>
          <w:sz w:val="22"/>
          <w:szCs w:val="22"/>
        </w:rPr>
      </w:pPr>
      <w:proofErr w:type="spellStart"/>
      <w:r w:rsidRPr="00FD4EA4">
        <w:rPr>
          <w:rFonts w:ascii="Arial" w:eastAsia="Arial" w:hAnsi="Arial" w:cs="Arial"/>
          <w:color w:val="000000" w:themeColor="text1"/>
          <w:sz w:val="22"/>
          <w:szCs w:val="22"/>
        </w:rPr>
        <w:t>Prising</w:t>
      </w:r>
      <w:proofErr w:type="spellEnd"/>
      <w:r w:rsidRPr="00FD4EA4">
        <w:rPr>
          <w:rFonts w:ascii="Arial" w:eastAsia="Arial" w:hAnsi="Arial" w:cs="Arial"/>
          <w:color w:val="000000" w:themeColor="text1"/>
          <w:sz w:val="22"/>
          <w:szCs w:val="22"/>
        </w:rPr>
        <w:t xml:space="preserve"> aportó una visión global basada en el conocimiento de ManpowerGroup sobre el mercado laboral y subrayó que las organizaciones que gestionan mejor la incertidumbre no son necesariamente las más avanzadas desde el punto de vista tecnológico, sino aquellas capaces de combinar adaptabilidad, liderazgo sólido e inversión sostenida en las personas, especialmente en los mandos intermedios.</w:t>
      </w:r>
      <w:r w:rsidRPr="00750B2C">
        <w:rPr>
          <w:rFonts w:ascii="Arial" w:eastAsia="Arial" w:hAnsi="Arial" w:cs="Arial"/>
          <w:color w:val="000000" w:themeColor="text1"/>
          <w:sz w:val="22"/>
          <w:szCs w:val="22"/>
        </w:rPr>
        <w:t xml:space="preserve"> </w:t>
      </w:r>
      <w:r w:rsidRPr="00FD4EA4">
        <w:rPr>
          <w:rFonts w:ascii="Arial" w:eastAsia="Arial" w:hAnsi="Arial" w:cs="Arial"/>
          <w:color w:val="000000" w:themeColor="text1"/>
          <w:sz w:val="22"/>
          <w:szCs w:val="22"/>
        </w:rPr>
        <w:t>“</w:t>
      </w:r>
      <w:r w:rsidRPr="00FD4EA4">
        <w:rPr>
          <w:rFonts w:ascii="Arial" w:eastAsia="Arial" w:hAnsi="Arial" w:cs="Arial"/>
          <w:i/>
          <w:iCs/>
          <w:color w:val="000000" w:themeColor="text1"/>
          <w:sz w:val="22"/>
          <w:szCs w:val="22"/>
        </w:rPr>
        <w:t>La tecnología, por sí sola, no es el factor diferencial</w:t>
      </w:r>
      <w:r w:rsidRPr="00FD4EA4">
        <w:rPr>
          <w:rFonts w:ascii="Arial" w:eastAsia="Arial" w:hAnsi="Arial" w:cs="Arial"/>
          <w:color w:val="000000" w:themeColor="text1"/>
          <w:sz w:val="22"/>
          <w:szCs w:val="22"/>
        </w:rPr>
        <w:t xml:space="preserve">”, afirmó </w:t>
      </w:r>
      <w:proofErr w:type="spellStart"/>
      <w:r w:rsidRPr="00FD4EA4">
        <w:rPr>
          <w:rFonts w:ascii="Arial" w:eastAsia="Arial" w:hAnsi="Arial" w:cs="Arial"/>
          <w:color w:val="000000" w:themeColor="text1"/>
          <w:sz w:val="22"/>
          <w:szCs w:val="22"/>
        </w:rPr>
        <w:t>Prising</w:t>
      </w:r>
      <w:proofErr w:type="spellEnd"/>
      <w:r w:rsidRPr="00FD4EA4">
        <w:rPr>
          <w:rFonts w:ascii="Arial" w:eastAsia="Arial" w:hAnsi="Arial" w:cs="Arial"/>
          <w:color w:val="000000" w:themeColor="text1"/>
          <w:sz w:val="22"/>
          <w:szCs w:val="22"/>
        </w:rPr>
        <w:t>. “</w:t>
      </w:r>
      <w:r w:rsidRPr="003A6783">
        <w:rPr>
          <w:rFonts w:ascii="Arial" w:eastAsia="Arial" w:hAnsi="Arial" w:cs="Arial"/>
          <w:b/>
          <w:bCs/>
          <w:i/>
          <w:iCs/>
          <w:color w:val="000000" w:themeColor="text1"/>
          <w:sz w:val="22"/>
          <w:szCs w:val="22"/>
        </w:rPr>
        <w:t>La verdadera ventaja competitiva está en cómo las organizaciones integran la innovación con la confianza, la capacidad humana y la resiliencia organizativa</w:t>
      </w:r>
      <w:r w:rsidRPr="00FD4EA4">
        <w:rPr>
          <w:rFonts w:ascii="Arial" w:eastAsia="Arial" w:hAnsi="Arial" w:cs="Arial"/>
          <w:color w:val="000000" w:themeColor="text1"/>
          <w:sz w:val="22"/>
          <w:szCs w:val="22"/>
        </w:rPr>
        <w:t>”.</w:t>
      </w:r>
    </w:p>
    <w:p w14:paraId="0BD05126" w14:textId="747DD96A"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La mesa dejó una idea especialmente relevante: hoy se exige a las empresas </w:t>
      </w:r>
      <w:r w:rsidRPr="0016101E">
        <w:rPr>
          <w:rFonts w:ascii="Arial" w:eastAsia="Arial" w:hAnsi="Arial" w:cs="Arial"/>
          <w:b/>
          <w:bCs/>
          <w:color w:val="000000" w:themeColor="text1"/>
          <w:sz w:val="22"/>
          <w:szCs w:val="22"/>
        </w:rPr>
        <w:t xml:space="preserve">transformar mientras siguen operando, </w:t>
      </w:r>
      <w:proofErr w:type="spellStart"/>
      <w:r w:rsidRPr="0016101E">
        <w:rPr>
          <w:rFonts w:ascii="Arial" w:eastAsia="Arial" w:hAnsi="Arial" w:cs="Arial"/>
          <w:b/>
          <w:bCs/>
          <w:i/>
          <w:iCs/>
          <w:color w:val="000000" w:themeColor="text1"/>
          <w:sz w:val="22"/>
          <w:szCs w:val="22"/>
        </w:rPr>
        <w:t>reskilling</w:t>
      </w:r>
      <w:proofErr w:type="spellEnd"/>
      <w:r w:rsidRPr="0016101E">
        <w:rPr>
          <w:rFonts w:ascii="Arial" w:eastAsia="Arial" w:hAnsi="Arial" w:cs="Arial"/>
          <w:b/>
          <w:bCs/>
          <w:color w:val="000000" w:themeColor="text1"/>
          <w:sz w:val="22"/>
          <w:szCs w:val="22"/>
        </w:rPr>
        <w:t xml:space="preserve"> sin detener el negocio y adoptar inteligencia artificial sin erosionar la confianza interna y externa</w:t>
      </w:r>
      <w:r w:rsidRPr="0016101E">
        <w:rPr>
          <w:rFonts w:ascii="Arial" w:eastAsia="Arial" w:hAnsi="Arial" w:cs="Arial"/>
          <w:color w:val="000000" w:themeColor="text1"/>
          <w:sz w:val="22"/>
          <w:szCs w:val="22"/>
        </w:rPr>
        <w:t>. Liderar en este contexto, coincidieron los ponentes, implica asumir decisiones complejas y comunicar con transparencia, aceptando que lo más difícil no suele estar en la estrategia, sino en la ejecución diaria.</w:t>
      </w:r>
    </w:p>
    <w:p w14:paraId="72BDED0C" w14:textId="49563848" w:rsidR="2BAF725E" w:rsidRPr="0016101E" w:rsidRDefault="2BAF725E" w:rsidP="6AE72285">
      <w:pPr>
        <w:spacing w:before="120" w:line="288" w:lineRule="auto"/>
        <w:jc w:val="both"/>
        <w:rPr>
          <w:rFonts w:ascii="Arial" w:hAnsi="Arial" w:cs="Arial"/>
        </w:rPr>
      </w:pPr>
      <w:r w:rsidRPr="0016101E">
        <w:rPr>
          <w:rFonts w:ascii="Arial" w:eastAsia="Arial" w:hAnsi="Arial" w:cs="Arial"/>
          <w:b/>
          <w:bCs/>
          <w:color w:val="000000" w:themeColor="text1"/>
          <w:sz w:val="22"/>
          <w:szCs w:val="22"/>
        </w:rPr>
        <w:t xml:space="preserve"> </w:t>
      </w:r>
    </w:p>
    <w:p w14:paraId="11E10C40" w14:textId="538928B4" w:rsidR="2BAF725E" w:rsidRPr="0016101E" w:rsidRDefault="2BAF725E" w:rsidP="6AE72285">
      <w:pPr>
        <w:spacing w:before="120" w:line="288" w:lineRule="auto"/>
        <w:jc w:val="both"/>
        <w:rPr>
          <w:rFonts w:ascii="Arial" w:hAnsi="Arial" w:cs="Arial"/>
        </w:rPr>
      </w:pPr>
      <w:r w:rsidRPr="0016101E">
        <w:rPr>
          <w:rFonts w:ascii="Arial" w:eastAsia="Arial" w:hAnsi="Arial" w:cs="Arial"/>
          <w:b/>
          <w:bCs/>
          <w:color w:val="000000" w:themeColor="text1"/>
          <w:sz w:val="22"/>
          <w:szCs w:val="22"/>
        </w:rPr>
        <w:t>El valor del diálogo entre líderes</w:t>
      </w:r>
    </w:p>
    <w:p w14:paraId="50AA1266" w14:textId="56CEF6CC"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Como cierre de ambas mesas, </w:t>
      </w:r>
      <w:r w:rsidRPr="0016101E">
        <w:rPr>
          <w:rFonts w:ascii="Arial" w:eastAsia="Arial" w:hAnsi="Arial" w:cs="Arial"/>
          <w:b/>
          <w:bCs/>
          <w:color w:val="000000" w:themeColor="text1"/>
          <w:sz w:val="22"/>
          <w:szCs w:val="22"/>
        </w:rPr>
        <w:t>David Herranz</w:t>
      </w:r>
      <w:r w:rsidRPr="0016101E">
        <w:rPr>
          <w:rFonts w:ascii="Arial" w:eastAsia="Arial" w:hAnsi="Arial" w:cs="Arial"/>
          <w:color w:val="000000" w:themeColor="text1"/>
          <w:sz w:val="22"/>
          <w:szCs w:val="22"/>
        </w:rPr>
        <w:t xml:space="preserve">, presidente de ManpowerGroup para el sur de Europa y moderador del encuentro, destacó que, frente a un entorno marcado por la volatilidad geopolítica, la disrupción tecnológica y la presión social, </w:t>
      </w:r>
      <w:r w:rsidRPr="0016101E">
        <w:rPr>
          <w:rFonts w:ascii="Arial" w:eastAsia="Arial" w:hAnsi="Arial" w:cs="Arial"/>
          <w:i/>
          <w:iCs/>
          <w:color w:val="000000" w:themeColor="text1"/>
          <w:sz w:val="22"/>
          <w:szCs w:val="22"/>
        </w:rPr>
        <w:t>“el liderazgo ya no puede ejercerse en silos ni desde certezas absolutas”</w:t>
      </w:r>
      <w:r w:rsidRPr="0016101E">
        <w:rPr>
          <w:rFonts w:ascii="Arial" w:eastAsia="Arial" w:hAnsi="Arial" w:cs="Arial"/>
          <w:color w:val="000000" w:themeColor="text1"/>
          <w:sz w:val="22"/>
          <w:szCs w:val="22"/>
        </w:rPr>
        <w:t xml:space="preserve">. </w:t>
      </w:r>
      <w:r w:rsidR="1C22B76D" w:rsidRPr="0016101E">
        <w:rPr>
          <w:rFonts w:ascii="Arial" w:eastAsiaTheme="minorEastAsia" w:hAnsi="Arial" w:cs="Arial"/>
          <w:color w:val="000000" w:themeColor="text1"/>
          <w:sz w:val="22"/>
          <w:szCs w:val="22"/>
        </w:rPr>
        <w:t>En su valoración final, subrayó la necesidad de promover foros en los que quienes asumen responsabilidades estratégicas puedan contrastar perspectivas, cuestionar supuestos y enriquecer su criterio a partir de experiencias diversas.</w:t>
      </w:r>
      <w:r w:rsidRPr="0016101E">
        <w:rPr>
          <w:rFonts w:ascii="Arial" w:eastAsia="Arial" w:hAnsi="Arial" w:cs="Arial"/>
          <w:color w:val="000000" w:themeColor="text1"/>
          <w:sz w:val="22"/>
          <w:szCs w:val="22"/>
        </w:rPr>
        <w:t xml:space="preserve"> </w:t>
      </w:r>
      <w:r w:rsidRPr="0016101E">
        <w:rPr>
          <w:rFonts w:ascii="Arial" w:eastAsia="Arial" w:hAnsi="Arial" w:cs="Arial"/>
          <w:i/>
          <w:iCs/>
          <w:color w:val="000000" w:themeColor="text1"/>
          <w:sz w:val="22"/>
          <w:szCs w:val="22"/>
        </w:rPr>
        <w:t>“</w:t>
      </w:r>
      <w:r w:rsidR="71AD6C43" w:rsidRPr="0016101E">
        <w:rPr>
          <w:rFonts w:ascii="Arial" w:eastAsia="Arial" w:hAnsi="Arial" w:cs="Arial"/>
          <w:i/>
          <w:iCs/>
          <w:color w:val="000000" w:themeColor="text1"/>
          <w:sz w:val="22"/>
          <w:szCs w:val="22"/>
        </w:rPr>
        <w:t>N</w:t>
      </w:r>
      <w:r w:rsidRPr="0016101E">
        <w:rPr>
          <w:rFonts w:ascii="Arial" w:eastAsia="Arial" w:hAnsi="Arial" w:cs="Arial"/>
          <w:i/>
          <w:iCs/>
          <w:color w:val="000000" w:themeColor="text1"/>
          <w:sz w:val="22"/>
          <w:szCs w:val="22"/>
        </w:rPr>
        <w:t>o se trata solo de compartir diagnósticos, sino de construir criterio colectivo. En un mundo más incierto que nunca, el diálogo entre líderes es una ventaja estratégica”</w:t>
      </w:r>
      <w:r w:rsidRPr="0016101E">
        <w:rPr>
          <w:rFonts w:ascii="Arial" w:eastAsia="Arial" w:hAnsi="Arial" w:cs="Arial"/>
          <w:color w:val="000000" w:themeColor="text1"/>
          <w:sz w:val="22"/>
          <w:szCs w:val="22"/>
        </w:rPr>
        <w:t>, concluyó.</w:t>
      </w:r>
    </w:p>
    <w:p w14:paraId="36CE17A8" w14:textId="2DC131E5" w:rsidR="2BAF725E" w:rsidRPr="0016101E" w:rsidRDefault="2BAF725E" w:rsidP="6AE72285">
      <w:pPr>
        <w:spacing w:before="120" w:line="288" w:lineRule="auto"/>
        <w:jc w:val="both"/>
        <w:rPr>
          <w:rFonts w:ascii="Arial" w:hAnsi="Arial" w:cs="Arial"/>
        </w:rPr>
      </w:pPr>
      <w:r w:rsidRPr="0016101E">
        <w:rPr>
          <w:rFonts w:ascii="Arial" w:eastAsia="Arial" w:hAnsi="Arial" w:cs="Arial"/>
          <w:color w:val="000000" w:themeColor="text1"/>
          <w:sz w:val="22"/>
          <w:szCs w:val="22"/>
        </w:rPr>
        <w:t xml:space="preserve">El encuentro finalizó con una sesión de </w:t>
      </w:r>
      <w:proofErr w:type="spellStart"/>
      <w:r w:rsidRPr="0016101E">
        <w:rPr>
          <w:rFonts w:ascii="Arial" w:eastAsia="Arial" w:hAnsi="Arial" w:cs="Arial"/>
          <w:i/>
          <w:iCs/>
          <w:color w:val="000000" w:themeColor="text1"/>
          <w:sz w:val="22"/>
          <w:szCs w:val="22"/>
        </w:rPr>
        <w:t>networking</w:t>
      </w:r>
      <w:proofErr w:type="spellEnd"/>
      <w:r w:rsidRPr="0016101E">
        <w:rPr>
          <w:rFonts w:ascii="Arial" w:eastAsia="Arial" w:hAnsi="Arial" w:cs="Arial"/>
          <w:color w:val="000000" w:themeColor="text1"/>
          <w:sz w:val="22"/>
          <w:szCs w:val="22"/>
        </w:rPr>
        <w:t xml:space="preserve"> en la que continuó el debate y la conversación entre líderes. </w:t>
      </w:r>
      <w:r w:rsidRPr="0016101E">
        <w:rPr>
          <w:rFonts w:ascii="Arial" w:eastAsia="Arial" w:hAnsi="Arial" w:cs="Arial"/>
          <w:i/>
          <w:iCs/>
          <w:color w:val="000000" w:themeColor="text1"/>
          <w:sz w:val="22"/>
          <w:szCs w:val="22"/>
        </w:rPr>
        <w:t>The Exchange</w:t>
      </w:r>
      <w:r w:rsidRPr="0016101E">
        <w:rPr>
          <w:rFonts w:ascii="Arial" w:eastAsia="Arial" w:hAnsi="Arial" w:cs="Arial"/>
          <w:color w:val="000000" w:themeColor="text1"/>
          <w:sz w:val="22"/>
          <w:szCs w:val="22"/>
        </w:rPr>
        <w:t xml:space="preserve"> puso de manifiesto que, en un mundo en tensión permanente, el diálogo no es solo una práctica deseable, sino una condición imprescindible para construir el futuro de las empresas y del empleo.</w:t>
      </w:r>
    </w:p>
    <w:p w14:paraId="0EECCBF2" w14:textId="77777777" w:rsidR="000B7939" w:rsidRDefault="000B7939" w:rsidP="00C11876">
      <w:pPr>
        <w:tabs>
          <w:tab w:val="right" w:pos="8838"/>
        </w:tabs>
        <w:autoSpaceDE w:val="0"/>
        <w:autoSpaceDN w:val="0"/>
        <w:adjustRightInd w:val="0"/>
        <w:jc w:val="both"/>
        <w:rPr>
          <w:rFonts w:ascii="Arial" w:hAnsi="Arial" w:cs="Arial"/>
          <w:b/>
          <w:bCs/>
          <w:sz w:val="16"/>
          <w:szCs w:val="16"/>
        </w:rPr>
      </w:pPr>
    </w:p>
    <w:p w14:paraId="3A7B7044" w14:textId="77777777" w:rsidR="00513BD1" w:rsidRDefault="00513BD1" w:rsidP="00C11876">
      <w:pPr>
        <w:tabs>
          <w:tab w:val="right" w:pos="8838"/>
        </w:tabs>
        <w:autoSpaceDE w:val="0"/>
        <w:autoSpaceDN w:val="0"/>
        <w:adjustRightInd w:val="0"/>
        <w:jc w:val="both"/>
        <w:rPr>
          <w:rFonts w:ascii="Arial" w:hAnsi="Arial" w:cs="Arial"/>
          <w:b/>
          <w:bCs/>
          <w:sz w:val="16"/>
          <w:szCs w:val="16"/>
        </w:rPr>
      </w:pPr>
    </w:p>
    <w:p w14:paraId="70D90728" w14:textId="77777777" w:rsidR="00513BD1" w:rsidRDefault="00513BD1" w:rsidP="00C11876">
      <w:pPr>
        <w:tabs>
          <w:tab w:val="right" w:pos="8838"/>
        </w:tabs>
        <w:autoSpaceDE w:val="0"/>
        <w:autoSpaceDN w:val="0"/>
        <w:adjustRightInd w:val="0"/>
        <w:jc w:val="both"/>
        <w:rPr>
          <w:rFonts w:ascii="Arial" w:hAnsi="Arial" w:cs="Arial"/>
          <w:b/>
          <w:bCs/>
          <w:sz w:val="16"/>
          <w:szCs w:val="16"/>
        </w:rPr>
      </w:pPr>
    </w:p>
    <w:p w14:paraId="5238AAE2" w14:textId="605A9AAD" w:rsidR="00C11876" w:rsidRPr="00C11876" w:rsidRDefault="00C11876" w:rsidP="00C11876">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63008374"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w:t>
      </w:r>
      <w:r w:rsidRPr="00C11876">
        <w:rPr>
          <w:rFonts w:ascii="Arial" w:hAnsi="Arial" w:cs="Arial"/>
          <w:sz w:val="16"/>
          <w:szCs w:val="16"/>
        </w:rPr>
        <w:lastRenderedPageBreak/>
        <w:t>Solutions),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7"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6FB62582" w14:textId="39C9DF2B" w:rsidR="00750181" w:rsidRDefault="00750181" w:rsidP="00DC55EB">
      <w:pPr>
        <w:tabs>
          <w:tab w:val="right" w:pos="8838"/>
        </w:tabs>
        <w:autoSpaceDE w:val="0"/>
        <w:autoSpaceDN w:val="0"/>
        <w:adjustRightInd w:val="0"/>
        <w:jc w:val="both"/>
        <w:rPr>
          <w:rFonts w:ascii="Arial" w:hAnsi="Arial" w:cs="Arial"/>
          <w:sz w:val="16"/>
          <w:szCs w:val="16"/>
        </w:rPr>
      </w:pPr>
    </w:p>
    <w:p w14:paraId="108340AD" w14:textId="77777777" w:rsidR="00750181" w:rsidRDefault="00750181" w:rsidP="00DC55EB">
      <w:pPr>
        <w:tabs>
          <w:tab w:val="right" w:pos="8838"/>
        </w:tabs>
        <w:autoSpaceDE w:val="0"/>
        <w:autoSpaceDN w:val="0"/>
        <w:adjustRightInd w:val="0"/>
        <w:jc w:val="both"/>
        <w:rPr>
          <w:rFonts w:ascii="Arial" w:hAnsi="Arial" w:cs="Arial"/>
          <w:sz w:val="16"/>
          <w:szCs w:val="16"/>
        </w:rPr>
      </w:pPr>
    </w:p>
    <w:p w14:paraId="76286A09" w14:textId="77777777" w:rsidR="0058525F" w:rsidRDefault="0058525F" w:rsidP="00DC55EB">
      <w:pPr>
        <w:tabs>
          <w:tab w:val="right" w:pos="8838"/>
        </w:tabs>
        <w:autoSpaceDE w:val="0"/>
        <w:autoSpaceDN w:val="0"/>
        <w:adjustRightInd w:val="0"/>
        <w:jc w:val="both"/>
        <w:rPr>
          <w:rFonts w:ascii="Arial" w:hAnsi="Arial" w:cs="Arial"/>
          <w:sz w:val="16"/>
          <w:szCs w:val="16"/>
        </w:rPr>
      </w:pPr>
    </w:p>
    <w:bookmarkEnd w:id="7"/>
    <w:bookmarkEnd w:id="8"/>
    <w:bookmarkEnd w:id="9"/>
    <w:p w14:paraId="26B230C1" w14:textId="77777777" w:rsidR="00761D60" w:rsidRPr="00761D60" w:rsidRDefault="00761D60" w:rsidP="00761D6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8861A5" w14:paraId="6DE41C35" w14:textId="77777777" w:rsidTr="00030508">
        <w:trPr>
          <w:trHeight w:val="1159"/>
        </w:trPr>
        <w:tc>
          <w:tcPr>
            <w:tcW w:w="3686" w:type="dxa"/>
            <w:hideMark/>
          </w:tcPr>
          <w:p w14:paraId="1D05332F" w14:textId="719F0AB6" w:rsidR="00761D60" w:rsidRPr="00761D60" w:rsidRDefault="00761D60">
            <w:pPr>
              <w:pStyle w:val="NormalWeb"/>
              <w:spacing w:before="0" w:beforeAutospacing="0" w:after="0" w:afterAutospacing="0"/>
              <w:jc w:val="both"/>
              <w:rPr>
                <w:rStyle w:val="Hipervnculo"/>
                <w:rFonts w:ascii="Arial" w:eastAsia="MS Mincho" w:hAnsi="Arial" w:cs="Arial"/>
                <w:sz w:val="16"/>
                <w:szCs w:val="16"/>
              </w:rPr>
            </w:pPr>
            <w:bookmarkStart w:id="10" w:name="_Hlk90207537"/>
            <w:r w:rsidRPr="00761D60">
              <w:rPr>
                <w:rFonts w:ascii="Arial" w:hAnsi="Arial" w:cs="Arial"/>
                <w:color w:val="000000"/>
                <w:sz w:val="16"/>
                <w:szCs w:val="16"/>
                <w:u w:val="single"/>
              </w:rPr>
              <w:t xml:space="preserve">Agencia de comunicación </w:t>
            </w:r>
            <w:r w:rsidR="00030508">
              <w:rPr>
                <w:rFonts w:ascii="Arial" w:hAnsi="Arial" w:cs="Arial"/>
                <w:color w:val="000000"/>
                <w:sz w:val="16"/>
                <w:szCs w:val="16"/>
                <w:u w:val="single"/>
              </w:rPr>
              <w:t>Havas PR</w:t>
            </w:r>
          </w:p>
          <w:p w14:paraId="0C9FBF80" w14:textId="573D0904" w:rsidR="00761D60" w:rsidRPr="00D76B10" w:rsidRDefault="00533EC8">
            <w:pPr>
              <w:pStyle w:val="NormalWeb"/>
              <w:spacing w:before="0" w:beforeAutospacing="0" w:after="0" w:afterAutospacing="0"/>
              <w:rPr>
                <w:rFonts w:ascii="Arial" w:hAnsi="Arial" w:cs="Arial"/>
                <w:color w:val="000000"/>
                <w:sz w:val="16"/>
                <w:szCs w:val="16"/>
              </w:rPr>
            </w:pPr>
            <w:hyperlink r:id="rId8" w:history="1">
              <w:r w:rsidRPr="00D76B10">
                <w:rPr>
                  <w:rStyle w:val="Hipervnculo"/>
                  <w:rFonts w:ascii="Arial" w:hAnsi="Arial" w:cs="Arial"/>
                  <w:sz w:val="16"/>
                  <w:szCs w:val="16"/>
                </w:rPr>
                <w:t>comunicacion.manpowergroup@havas.com</w:t>
              </w:r>
            </w:hyperlink>
            <w:r w:rsidR="00030508" w:rsidRPr="00D76B10">
              <w:rPr>
                <w:rFonts w:ascii="Arial" w:hAnsi="Arial" w:cs="Arial"/>
                <w:color w:val="000000"/>
                <w:sz w:val="16"/>
                <w:szCs w:val="16"/>
              </w:rPr>
              <w:t xml:space="preserve"> </w:t>
            </w:r>
          </w:p>
          <w:p w14:paraId="0BBFE845" w14:textId="7D6AE060" w:rsidR="00761D60" w:rsidRPr="00761D60" w:rsidRDefault="00761D60">
            <w:pPr>
              <w:jc w:val="both"/>
              <w:outlineLvl w:val="0"/>
              <w:rPr>
                <w:rFonts w:ascii="Arial" w:hAnsi="Arial" w:cs="Arial"/>
                <w:b/>
                <w:sz w:val="16"/>
                <w:szCs w:val="16"/>
                <w:lang w:val="ca-ES"/>
              </w:rPr>
            </w:pPr>
          </w:p>
        </w:tc>
        <w:tc>
          <w:tcPr>
            <w:tcW w:w="2234" w:type="dxa"/>
          </w:tcPr>
          <w:p w14:paraId="5C3E5C6E" w14:textId="77777777" w:rsidR="00761D60" w:rsidRPr="00761D60" w:rsidRDefault="00761D60">
            <w:pPr>
              <w:jc w:val="both"/>
              <w:rPr>
                <w:rFonts w:ascii="Arial" w:hAnsi="Arial" w:cs="Arial"/>
                <w:sz w:val="16"/>
                <w:szCs w:val="16"/>
                <w:lang w:val="ca-ES"/>
              </w:rPr>
            </w:pPr>
          </w:p>
        </w:tc>
        <w:tc>
          <w:tcPr>
            <w:tcW w:w="3028" w:type="dxa"/>
          </w:tcPr>
          <w:p w14:paraId="5F6CDF18" w14:textId="77777777" w:rsidR="00761D60" w:rsidRPr="00761D60" w:rsidRDefault="00761D60">
            <w:pPr>
              <w:jc w:val="both"/>
              <w:outlineLvl w:val="0"/>
              <w:rPr>
                <w:rFonts w:ascii="Arial" w:hAnsi="Arial" w:cs="Arial"/>
                <w:b/>
                <w:sz w:val="16"/>
                <w:szCs w:val="16"/>
              </w:rPr>
            </w:pPr>
            <w:r w:rsidRPr="00761D60">
              <w:rPr>
                <w:rFonts w:ascii="Arial" w:hAnsi="Arial" w:cs="Arial"/>
                <w:b/>
                <w:sz w:val="16"/>
                <w:szCs w:val="16"/>
              </w:rPr>
              <w:t>ManpowerGroup</w:t>
            </w:r>
          </w:p>
          <w:p w14:paraId="6EB79493" w14:textId="77777777" w:rsidR="00761D60" w:rsidRPr="00761D60" w:rsidRDefault="00761D60">
            <w:pPr>
              <w:jc w:val="both"/>
              <w:outlineLvl w:val="0"/>
              <w:rPr>
                <w:rFonts w:ascii="Arial" w:hAnsi="Arial" w:cs="Arial"/>
                <w:sz w:val="16"/>
                <w:szCs w:val="16"/>
              </w:rPr>
            </w:pPr>
            <w:r w:rsidRPr="00761D60">
              <w:rPr>
                <w:rFonts w:ascii="Arial" w:hAnsi="Arial" w:cs="Arial"/>
                <w:sz w:val="16"/>
                <w:szCs w:val="16"/>
              </w:rPr>
              <w:t>Dpto. Comunicación</w:t>
            </w:r>
          </w:p>
          <w:p w14:paraId="68A38F2C"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 xml:space="preserve">Gala Díaz Curiel </w:t>
            </w:r>
          </w:p>
          <w:p w14:paraId="65B87DC6"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607 35 33 49</w:t>
            </w:r>
          </w:p>
          <w:p w14:paraId="71BE04B8" w14:textId="77777777" w:rsidR="000D00D5" w:rsidRPr="000D00D5" w:rsidRDefault="000D00D5" w:rsidP="000D00D5">
            <w:pPr>
              <w:jc w:val="both"/>
              <w:rPr>
                <w:rFonts w:ascii="Arial" w:hAnsi="Arial" w:cs="Arial"/>
                <w:sz w:val="16"/>
                <w:szCs w:val="16"/>
                <w:u w:val="single"/>
              </w:rPr>
            </w:pPr>
            <w:hyperlink r:id="rId9" w:history="1">
              <w:r w:rsidRPr="000D00D5">
                <w:rPr>
                  <w:rStyle w:val="Hipervnculo"/>
                  <w:rFonts w:ascii="Arial" w:hAnsi="Arial" w:cs="Arial"/>
                  <w:sz w:val="16"/>
                  <w:szCs w:val="16"/>
                </w:rPr>
                <w:t>gala.diaz@manpowergroup.es</w:t>
              </w:r>
            </w:hyperlink>
          </w:p>
          <w:p w14:paraId="2BFA7ACC" w14:textId="77777777" w:rsidR="000D00D5" w:rsidRDefault="000D00D5">
            <w:pPr>
              <w:jc w:val="both"/>
              <w:rPr>
                <w:rFonts w:ascii="Arial" w:hAnsi="Arial" w:cs="Arial"/>
                <w:sz w:val="16"/>
                <w:szCs w:val="16"/>
              </w:rPr>
            </w:pPr>
          </w:p>
          <w:p w14:paraId="13CBCB15" w14:textId="04362372" w:rsidR="00761D60" w:rsidRPr="00761D60" w:rsidRDefault="00761D60">
            <w:pPr>
              <w:jc w:val="both"/>
              <w:rPr>
                <w:rFonts w:ascii="Arial" w:hAnsi="Arial" w:cs="Arial"/>
                <w:sz w:val="16"/>
                <w:szCs w:val="16"/>
              </w:rPr>
            </w:pPr>
            <w:r w:rsidRPr="00761D60">
              <w:rPr>
                <w:rFonts w:ascii="Arial" w:hAnsi="Arial" w:cs="Arial"/>
                <w:sz w:val="16"/>
                <w:szCs w:val="16"/>
              </w:rPr>
              <w:t>Juan Gómez Rodríguez</w:t>
            </w:r>
          </w:p>
          <w:p w14:paraId="0C3AABE4" w14:textId="77777777" w:rsidR="00761D60" w:rsidRPr="00F51FFC" w:rsidRDefault="00761D60">
            <w:pPr>
              <w:jc w:val="both"/>
              <w:rPr>
                <w:rFonts w:ascii="Arial" w:hAnsi="Arial" w:cs="Arial"/>
                <w:sz w:val="16"/>
                <w:szCs w:val="16"/>
                <w:lang w:val="de-DE"/>
              </w:rPr>
            </w:pPr>
            <w:r w:rsidRPr="00F51FFC">
              <w:rPr>
                <w:rFonts w:ascii="Arial" w:hAnsi="Arial" w:cs="Arial"/>
                <w:sz w:val="16"/>
                <w:szCs w:val="16"/>
                <w:lang w:val="de-DE"/>
              </w:rPr>
              <w:t>Tel. 687 51 96 90</w:t>
            </w:r>
          </w:p>
          <w:p w14:paraId="41E0F357" w14:textId="77777777" w:rsidR="00761D60" w:rsidRPr="00F51FFC" w:rsidRDefault="00761D60">
            <w:pPr>
              <w:jc w:val="both"/>
              <w:rPr>
                <w:rFonts w:ascii="Arial" w:hAnsi="Arial" w:cs="Arial"/>
                <w:sz w:val="16"/>
                <w:szCs w:val="16"/>
                <w:lang w:val="de-DE"/>
              </w:rPr>
            </w:pPr>
            <w:hyperlink r:id="rId10" w:history="1">
              <w:r w:rsidRPr="00F51FFC">
                <w:rPr>
                  <w:rStyle w:val="Hipervnculo"/>
                  <w:rFonts w:ascii="Arial" w:hAnsi="Arial" w:cs="Arial"/>
                  <w:sz w:val="16"/>
                  <w:szCs w:val="16"/>
                  <w:lang w:val="de-DE"/>
                </w:rPr>
                <w:t>juan.gomez@manpowergroup.es</w:t>
              </w:r>
            </w:hyperlink>
          </w:p>
        </w:tc>
      </w:tr>
      <w:bookmarkEnd w:id="10"/>
    </w:tbl>
    <w:p w14:paraId="0F55B214" w14:textId="77777777" w:rsidR="008E54AD" w:rsidRPr="00F51FFC" w:rsidRDefault="008E54AD" w:rsidP="008F4FC2">
      <w:pPr>
        <w:tabs>
          <w:tab w:val="right" w:pos="8838"/>
        </w:tabs>
        <w:autoSpaceDE w:val="0"/>
        <w:autoSpaceDN w:val="0"/>
        <w:adjustRightInd w:val="0"/>
        <w:jc w:val="both"/>
        <w:rPr>
          <w:rFonts w:ascii="Arial" w:hAnsi="Arial" w:cs="Arial"/>
          <w:b/>
          <w:bCs/>
          <w:sz w:val="16"/>
          <w:szCs w:val="16"/>
          <w:lang w:val="de-DE"/>
        </w:rPr>
      </w:pPr>
    </w:p>
    <w:sectPr w:rsidR="008E54AD" w:rsidRPr="00F51FFC" w:rsidSect="005A5179">
      <w:headerReference w:type="default" r:id="rId11"/>
      <w:footerReference w:type="even" r:id="rId12"/>
      <w:footerReference w:type="default" r:id="rId13"/>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536B" w14:textId="77777777" w:rsidR="00D40557" w:rsidRDefault="00D40557">
      <w:r>
        <w:separator/>
      </w:r>
    </w:p>
  </w:endnote>
  <w:endnote w:type="continuationSeparator" w:id="0">
    <w:p w14:paraId="24BA1E8C" w14:textId="77777777" w:rsidR="00D40557" w:rsidRDefault="00D4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Pr="00513BD1" w:rsidRDefault="00346E05">
    <w:pPr>
      <w:pStyle w:val="Piedepgina"/>
      <w:framePr w:wrap="around" w:vAnchor="text" w:hAnchor="margin" w:xAlign="right" w:y="1"/>
      <w:rPr>
        <w:rStyle w:val="Nmerodepgina"/>
        <w:rFonts w:ascii="Arial" w:hAnsi="Arial" w:cs="Arial"/>
        <w:sz w:val="20"/>
        <w:szCs w:val="20"/>
      </w:rPr>
    </w:pPr>
    <w:r w:rsidRPr="00513BD1">
      <w:rPr>
        <w:rStyle w:val="Nmerodepgina"/>
        <w:rFonts w:ascii="Arial" w:hAnsi="Arial" w:cs="Arial"/>
        <w:sz w:val="20"/>
        <w:szCs w:val="20"/>
      </w:rPr>
      <w:fldChar w:fldCharType="begin"/>
    </w:r>
    <w:r w:rsidRPr="00513BD1">
      <w:rPr>
        <w:rStyle w:val="Nmerodepgina"/>
        <w:rFonts w:ascii="Arial" w:hAnsi="Arial" w:cs="Arial"/>
        <w:sz w:val="20"/>
        <w:szCs w:val="20"/>
      </w:rPr>
      <w:instrText xml:space="preserve">PAGE  </w:instrText>
    </w:r>
    <w:r w:rsidRPr="00513BD1">
      <w:rPr>
        <w:rStyle w:val="Nmerodepgina"/>
        <w:rFonts w:ascii="Arial" w:hAnsi="Arial" w:cs="Arial"/>
        <w:sz w:val="20"/>
        <w:szCs w:val="20"/>
      </w:rPr>
      <w:fldChar w:fldCharType="separate"/>
    </w:r>
    <w:r w:rsidR="00815B32" w:rsidRPr="00513BD1">
      <w:rPr>
        <w:rStyle w:val="Nmerodepgina"/>
        <w:rFonts w:ascii="Arial" w:hAnsi="Arial" w:cs="Arial"/>
        <w:noProof/>
        <w:sz w:val="20"/>
        <w:szCs w:val="20"/>
      </w:rPr>
      <w:t>2</w:t>
    </w:r>
    <w:r w:rsidRPr="00513BD1">
      <w:rPr>
        <w:rStyle w:val="Nmerodepgina"/>
        <w:rFonts w:ascii="Arial" w:hAnsi="Arial" w:cs="Arial"/>
        <w:sz w:val="20"/>
        <w:szCs w:val="20"/>
      </w:rPr>
      <w:fldChar w:fldCharType="end"/>
    </w:r>
  </w:p>
  <w:p w14:paraId="15552DA8" w14:textId="77777777" w:rsidR="00FB1381" w:rsidRPr="00513BD1" w:rsidRDefault="00FB1381">
    <w:pPr>
      <w:pStyle w:val="Piedepgina"/>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1FDA2006" w:rsidR="00FB1381" w:rsidRDefault="006A2051" w:rsidP="006A2051">
    <w:pPr>
      <w:pStyle w:val="Piedepgina"/>
      <w:jc w:val="center"/>
    </w:pPr>
    <w:bookmarkStart w:id="15" w:name="_Hlk216197226"/>
    <w:bookmarkStart w:id="16" w:name="_Hlk216197231"/>
    <w:bookmarkStart w:id="17" w:name="_Hlk216197227"/>
    <w:bookmarkStart w:id="18" w:name="_Hlk198035490"/>
    <w:bookmarkStart w:id="19" w:name="_Hlk216197230"/>
    <w:bookmarkStart w:id="20" w:name="_Hlk198035491"/>
    <w:r>
      <w:rPr>
        <w:noProof/>
      </w:rPr>
      <w:drawing>
        <wp:inline distT="0" distB="0" distL="0" distR="0" wp14:anchorId="34E708A4" wp14:editId="3B055A39">
          <wp:extent cx="4493260" cy="734455"/>
          <wp:effectExtent l="0" t="0" r="2540" b="0"/>
          <wp:docPr id="2040554999" name="Imagen 1" descr="Interfaz de usuario gráfica, Aplicación&#10;&#10;El contenido generado por IA puede ser incorrecto.">
            <a:extLst xmlns:a="http://schemas.openxmlformats.org/drawingml/2006/main">
              <a:ext uri="{FF2B5EF4-FFF2-40B4-BE49-F238E27FC236}">
                <a16:creationId xmlns:a16="http://schemas.microsoft.com/office/drawing/2014/main" id="{FFAAE416-D271-46DA-85F9-CF022F8C4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54999"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4504186" cy="736241"/>
                  </a:xfrm>
                  <a:prstGeom prst="rect">
                    <a:avLst/>
                  </a:prstGeom>
                  <a:noFill/>
                </pic:spPr>
              </pic:pic>
            </a:graphicData>
          </a:graphic>
        </wp:inline>
      </w:drawing>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A12B" w14:textId="77777777" w:rsidR="00D40557" w:rsidRDefault="00D40557">
      <w:r>
        <w:separator/>
      </w:r>
    </w:p>
  </w:footnote>
  <w:footnote w:type="continuationSeparator" w:id="0">
    <w:p w14:paraId="412C68BE" w14:textId="77777777" w:rsidR="00D40557" w:rsidRDefault="00D4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7CC0B685" w:rsidR="006A2051" w:rsidRDefault="00610037">
    <w:pPr>
      <w:pStyle w:val="Encabezado"/>
      <w:rPr>
        <w:rFonts w:ascii="Verdana" w:hAnsi="Verdana"/>
        <w:noProof/>
        <w:color w:val="616161"/>
        <w:sz w:val="14"/>
        <w:szCs w:val="14"/>
      </w:rPr>
    </w:pPr>
    <w:bookmarkStart w:id="11" w:name="_Hlk216197174"/>
    <w:bookmarkStart w:id="12" w:name="_Hlk216197163"/>
    <w:bookmarkStart w:id="13" w:name="_Hlk216197175"/>
    <w:bookmarkStart w:id="14" w:name="_Hlk216197164"/>
    <w:r>
      <w:rPr>
        <w:rFonts w:ascii="Verdana" w:hAnsi="Verdana"/>
        <w:noProof/>
        <w:color w:val="616161"/>
        <w:sz w:val="14"/>
        <w:szCs w:val="14"/>
      </w:rPr>
      <w:drawing>
        <wp:anchor distT="0" distB="0" distL="114300" distR="114300" simplePos="0" relativeHeight="251658240" behindDoc="0" locked="0" layoutInCell="1" allowOverlap="1" wp14:anchorId="3A45C653" wp14:editId="6657A6B5">
          <wp:simplePos x="0" y="0"/>
          <wp:positionH relativeFrom="margin">
            <wp:align>right</wp:align>
          </wp:positionH>
          <wp:positionV relativeFrom="paragraph">
            <wp:posOffset>53340</wp:posOffset>
          </wp:positionV>
          <wp:extent cx="1866900" cy="571500"/>
          <wp:effectExtent l="0" t="0" r="0" b="0"/>
          <wp:wrapSquare wrapText="bothSides"/>
          <wp:docPr id="2137241685" name="Imagen 4">
            <a:extLst xmlns:a="http://schemas.openxmlformats.org/drawingml/2006/main">
              <a:ext uri="{FF2B5EF4-FFF2-40B4-BE49-F238E27FC236}">
                <a16:creationId xmlns:a16="http://schemas.microsoft.com/office/drawing/2014/main" id="{5FE79338-8A5B-4A1C-895B-9600481DD0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5067" b="34352"/>
                  <a:stretch>
                    <a:fillRect/>
                  </a:stretch>
                </pic:blipFill>
                <pic:spPr bwMode="auto">
                  <a:xfrm>
                    <a:off x="0" y="0"/>
                    <a:ext cx="18669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BD1">
      <w:rPr>
        <w:rFonts w:ascii="Verdana" w:hAnsi="Verdana"/>
        <w:noProof/>
        <w:color w:val="616161"/>
        <w:sz w:val="14"/>
        <w:szCs w:val="14"/>
      </w:rPr>
      <w:drawing>
        <wp:inline distT="0" distB="0" distL="0" distR="0" wp14:anchorId="25B40ED4" wp14:editId="60B13DAC">
          <wp:extent cx="1356360" cy="685376"/>
          <wp:effectExtent l="0" t="0" r="0" b="0"/>
          <wp:docPr id="25472021" name="Imagen 1">
            <a:extLst xmlns:a="http://schemas.openxmlformats.org/drawingml/2006/main">
              <a:ext uri="{FF2B5EF4-FFF2-40B4-BE49-F238E27FC236}">
                <a16:creationId xmlns:a16="http://schemas.microsoft.com/office/drawing/2014/main" id="{69DB2C38-3F75-4E43-A7EA-D61EEF188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62861" cy="688661"/>
                  </a:xfrm>
                  <a:prstGeom prst="rect">
                    <a:avLst/>
                  </a:prstGeom>
                  <a:noFill/>
                  <a:ln>
                    <a:noFill/>
                  </a:ln>
                </pic:spPr>
              </pic:pic>
            </a:graphicData>
          </a:graphic>
        </wp:inline>
      </w:drawing>
    </w:r>
  </w:p>
  <w:p w14:paraId="609D24D9" w14:textId="1EF10588" w:rsidR="006A2051" w:rsidRDefault="006A2051">
    <w:pPr>
      <w:pStyle w:val="Encabezado"/>
      <w:rPr>
        <w:rFonts w:ascii="Verdana" w:hAnsi="Verdana"/>
        <w:noProof/>
        <w:color w:val="616161"/>
        <w:sz w:val="14"/>
        <w:szCs w:val="14"/>
      </w:rPr>
    </w:pPr>
  </w:p>
  <w:p w14:paraId="477BC6CD" w14:textId="77777777" w:rsidR="006A2051" w:rsidRDefault="006A2051">
    <w:pPr>
      <w:pStyle w:val="Encabezado"/>
      <w:rPr>
        <w:rFonts w:ascii="Verdana" w:hAnsi="Verdana"/>
        <w:noProof/>
        <w:color w:val="616161"/>
        <w:sz w:val="14"/>
        <w:szCs w:val="14"/>
      </w:rPr>
    </w:pPr>
  </w:p>
  <w:bookmarkEnd w:id="11"/>
  <w:bookmarkEnd w:id="12"/>
  <w:bookmarkEnd w:id="13"/>
  <w:bookmarkEnd w:id="14"/>
  <w:p w14:paraId="054F2965" w14:textId="1823066E" w:rsidR="00FB1381" w:rsidRDefault="00FB1381">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B03"/>
    <w:multiLevelType w:val="hybridMultilevel"/>
    <w:tmpl w:val="9970C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C4FE5"/>
    <w:multiLevelType w:val="hybridMultilevel"/>
    <w:tmpl w:val="E248A9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5C1E34"/>
    <w:multiLevelType w:val="hybridMultilevel"/>
    <w:tmpl w:val="CD6674D0"/>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88530D"/>
    <w:multiLevelType w:val="hybridMultilevel"/>
    <w:tmpl w:val="B9707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544F15"/>
    <w:multiLevelType w:val="multilevel"/>
    <w:tmpl w:val="4FA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D2C0D"/>
    <w:multiLevelType w:val="hybridMultilevel"/>
    <w:tmpl w:val="36C0D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0FA5"/>
    <w:multiLevelType w:val="hybridMultilevel"/>
    <w:tmpl w:val="9F2C041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3D665B"/>
    <w:multiLevelType w:val="hybridMultilevel"/>
    <w:tmpl w:val="17FA1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13"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3567A7"/>
    <w:multiLevelType w:val="hybridMultilevel"/>
    <w:tmpl w:val="863C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5AF0123"/>
    <w:multiLevelType w:val="hybridMultilevel"/>
    <w:tmpl w:val="8BC227A4"/>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D95531"/>
    <w:multiLevelType w:val="hybridMultilevel"/>
    <w:tmpl w:val="E542A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147B5B"/>
    <w:multiLevelType w:val="hybridMultilevel"/>
    <w:tmpl w:val="A9D01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B4228"/>
    <w:multiLevelType w:val="hybridMultilevel"/>
    <w:tmpl w:val="73285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229937">
    <w:abstractNumId w:val="9"/>
  </w:num>
  <w:num w:numId="2" w16cid:durableId="1071661940">
    <w:abstractNumId w:val="6"/>
  </w:num>
  <w:num w:numId="3" w16cid:durableId="1244993264">
    <w:abstractNumId w:val="5"/>
  </w:num>
  <w:num w:numId="4" w16cid:durableId="1245341768">
    <w:abstractNumId w:val="18"/>
  </w:num>
  <w:num w:numId="5" w16cid:durableId="126244196">
    <w:abstractNumId w:val="8"/>
  </w:num>
  <w:num w:numId="6" w16cid:durableId="1342783302">
    <w:abstractNumId w:val="12"/>
  </w:num>
  <w:num w:numId="7" w16cid:durableId="1371228356">
    <w:abstractNumId w:val="19"/>
  </w:num>
  <w:num w:numId="8" w16cid:durableId="1421952656">
    <w:abstractNumId w:val="11"/>
  </w:num>
  <w:num w:numId="9" w16cid:durableId="1640040166">
    <w:abstractNumId w:val="17"/>
  </w:num>
  <w:num w:numId="10" w16cid:durableId="1669862602">
    <w:abstractNumId w:val="7"/>
  </w:num>
  <w:num w:numId="11" w16cid:durableId="1694649892">
    <w:abstractNumId w:val="16"/>
  </w:num>
  <w:num w:numId="12" w16cid:durableId="1818565275">
    <w:abstractNumId w:val="14"/>
  </w:num>
  <w:num w:numId="13" w16cid:durableId="183633626">
    <w:abstractNumId w:val="0"/>
  </w:num>
  <w:num w:numId="14" w16cid:durableId="2127692794">
    <w:abstractNumId w:val="1"/>
  </w:num>
  <w:num w:numId="15" w16cid:durableId="228806777">
    <w:abstractNumId w:val="4"/>
  </w:num>
  <w:num w:numId="16" w16cid:durableId="305208792">
    <w:abstractNumId w:val="10"/>
  </w:num>
  <w:num w:numId="17" w16cid:durableId="356974644">
    <w:abstractNumId w:val="15"/>
  </w:num>
  <w:num w:numId="18" w16cid:durableId="597829097">
    <w:abstractNumId w:val="13"/>
  </w:num>
  <w:num w:numId="19" w16cid:durableId="603803408">
    <w:abstractNumId w:val="2"/>
  </w:num>
  <w:num w:numId="20" w16cid:durableId="895117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1C23"/>
    <w:rsid w:val="00006233"/>
    <w:rsid w:val="000068C6"/>
    <w:rsid w:val="000074CA"/>
    <w:rsid w:val="000101F6"/>
    <w:rsid w:val="000122ED"/>
    <w:rsid w:val="0001254E"/>
    <w:rsid w:val="00013FB1"/>
    <w:rsid w:val="000166E0"/>
    <w:rsid w:val="00017815"/>
    <w:rsid w:val="000258CF"/>
    <w:rsid w:val="00027080"/>
    <w:rsid w:val="00027292"/>
    <w:rsid w:val="00030253"/>
    <w:rsid w:val="00030508"/>
    <w:rsid w:val="000310B8"/>
    <w:rsid w:val="000320CC"/>
    <w:rsid w:val="00032176"/>
    <w:rsid w:val="0003516C"/>
    <w:rsid w:val="0004003B"/>
    <w:rsid w:val="00040BA5"/>
    <w:rsid w:val="000410B0"/>
    <w:rsid w:val="00042488"/>
    <w:rsid w:val="00043926"/>
    <w:rsid w:val="00044B57"/>
    <w:rsid w:val="00047806"/>
    <w:rsid w:val="000507C4"/>
    <w:rsid w:val="000576F2"/>
    <w:rsid w:val="00063579"/>
    <w:rsid w:val="00066C14"/>
    <w:rsid w:val="000752A6"/>
    <w:rsid w:val="0008054F"/>
    <w:rsid w:val="000869A2"/>
    <w:rsid w:val="00090345"/>
    <w:rsid w:val="000915ED"/>
    <w:rsid w:val="00092740"/>
    <w:rsid w:val="000A1973"/>
    <w:rsid w:val="000A1EBF"/>
    <w:rsid w:val="000A1F63"/>
    <w:rsid w:val="000A3669"/>
    <w:rsid w:val="000A5406"/>
    <w:rsid w:val="000A7606"/>
    <w:rsid w:val="000A77EA"/>
    <w:rsid w:val="000A7DFE"/>
    <w:rsid w:val="000B4C39"/>
    <w:rsid w:val="000B7939"/>
    <w:rsid w:val="000C01BB"/>
    <w:rsid w:val="000C12D2"/>
    <w:rsid w:val="000C1F4F"/>
    <w:rsid w:val="000C39A3"/>
    <w:rsid w:val="000C41F9"/>
    <w:rsid w:val="000D00D5"/>
    <w:rsid w:val="000D2B5A"/>
    <w:rsid w:val="000D573A"/>
    <w:rsid w:val="000D6AB6"/>
    <w:rsid w:val="000E191A"/>
    <w:rsid w:val="000E61DA"/>
    <w:rsid w:val="000E78FE"/>
    <w:rsid w:val="000F11D7"/>
    <w:rsid w:val="000F269C"/>
    <w:rsid w:val="000F428E"/>
    <w:rsid w:val="000F4634"/>
    <w:rsid w:val="00103F84"/>
    <w:rsid w:val="00104315"/>
    <w:rsid w:val="00110615"/>
    <w:rsid w:val="00114FC4"/>
    <w:rsid w:val="00115345"/>
    <w:rsid w:val="00115572"/>
    <w:rsid w:val="0011607A"/>
    <w:rsid w:val="0012170F"/>
    <w:rsid w:val="00124DEA"/>
    <w:rsid w:val="00125513"/>
    <w:rsid w:val="00130822"/>
    <w:rsid w:val="00131287"/>
    <w:rsid w:val="001319E5"/>
    <w:rsid w:val="001324E2"/>
    <w:rsid w:val="00132EA5"/>
    <w:rsid w:val="0013788B"/>
    <w:rsid w:val="00143F63"/>
    <w:rsid w:val="001442A6"/>
    <w:rsid w:val="00145537"/>
    <w:rsid w:val="001463C1"/>
    <w:rsid w:val="00147F82"/>
    <w:rsid w:val="00152E30"/>
    <w:rsid w:val="00153505"/>
    <w:rsid w:val="00154F3A"/>
    <w:rsid w:val="0015597C"/>
    <w:rsid w:val="00156E14"/>
    <w:rsid w:val="0016101E"/>
    <w:rsid w:val="00166FA8"/>
    <w:rsid w:val="00171AAA"/>
    <w:rsid w:val="001740C7"/>
    <w:rsid w:val="00175E3F"/>
    <w:rsid w:val="00177312"/>
    <w:rsid w:val="00177CB8"/>
    <w:rsid w:val="00181155"/>
    <w:rsid w:val="00187625"/>
    <w:rsid w:val="00190E3D"/>
    <w:rsid w:val="00195CAB"/>
    <w:rsid w:val="001A0AA0"/>
    <w:rsid w:val="001A2A76"/>
    <w:rsid w:val="001A332D"/>
    <w:rsid w:val="001A3E19"/>
    <w:rsid w:val="001A60DD"/>
    <w:rsid w:val="001A645B"/>
    <w:rsid w:val="001A645F"/>
    <w:rsid w:val="001B040F"/>
    <w:rsid w:val="001B05D6"/>
    <w:rsid w:val="001B1D6A"/>
    <w:rsid w:val="001B237D"/>
    <w:rsid w:val="001B39AD"/>
    <w:rsid w:val="001C10B4"/>
    <w:rsid w:val="001C4165"/>
    <w:rsid w:val="001C702D"/>
    <w:rsid w:val="001D5BD3"/>
    <w:rsid w:val="001E24E8"/>
    <w:rsid w:val="001E5E29"/>
    <w:rsid w:val="001E6322"/>
    <w:rsid w:val="001E7292"/>
    <w:rsid w:val="001E77D0"/>
    <w:rsid w:val="001F3A45"/>
    <w:rsid w:val="001F3E41"/>
    <w:rsid w:val="001F6322"/>
    <w:rsid w:val="001F7ADD"/>
    <w:rsid w:val="00204B99"/>
    <w:rsid w:val="00204E64"/>
    <w:rsid w:val="0020584E"/>
    <w:rsid w:val="002059D2"/>
    <w:rsid w:val="00205D68"/>
    <w:rsid w:val="0021069A"/>
    <w:rsid w:val="00212129"/>
    <w:rsid w:val="00221F49"/>
    <w:rsid w:val="002246BA"/>
    <w:rsid w:val="00224DE1"/>
    <w:rsid w:val="0022645B"/>
    <w:rsid w:val="00226BBA"/>
    <w:rsid w:val="00230515"/>
    <w:rsid w:val="00231877"/>
    <w:rsid w:val="002331A8"/>
    <w:rsid w:val="00233FA6"/>
    <w:rsid w:val="00234E52"/>
    <w:rsid w:val="00234EDB"/>
    <w:rsid w:val="00235658"/>
    <w:rsid w:val="0024317A"/>
    <w:rsid w:val="00252A0D"/>
    <w:rsid w:val="002555AE"/>
    <w:rsid w:val="00261409"/>
    <w:rsid w:val="00263285"/>
    <w:rsid w:val="00264632"/>
    <w:rsid w:val="00271614"/>
    <w:rsid w:val="0027235F"/>
    <w:rsid w:val="0027657C"/>
    <w:rsid w:val="0027680B"/>
    <w:rsid w:val="00281944"/>
    <w:rsid w:val="00290F74"/>
    <w:rsid w:val="00290FBF"/>
    <w:rsid w:val="00292659"/>
    <w:rsid w:val="00294475"/>
    <w:rsid w:val="00294AFF"/>
    <w:rsid w:val="002A2DD5"/>
    <w:rsid w:val="002A3D92"/>
    <w:rsid w:val="002A78A1"/>
    <w:rsid w:val="002B3F52"/>
    <w:rsid w:val="002B4447"/>
    <w:rsid w:val="002C01E7"/>
    <w:rsid w:val="002C02D9"/>
    <w:rsid w:val="002C6AAB"/>
    <w:rsid w:val="002D032D"/>
    <w:rsid w:val="002E285C"/>
    <w:rsid w:val="002E2F04"/>
    <w:rsid w:val="002E4850"/>
    <w:rsid w:val="002E4A5C"/>
    <w:rsid w:val="002E5E6F"/>
    <w:rsid w:val="002F2E0A"/>
    <w:rsid w:val="002F4816"/>
    <w:rsid w:val="003006FC"/>
    <w:rsid w:val="003019C9"/>
    <w:rsid w:val="003065EE"/>
    <w:rsid w:val="003078AD"/>
    <w:rsid w:val="003108C5"/>
    <w:rsid w:val="00310DC4"/>
    <w:rsid w:val="003111BE"/>
    <w:rsid w:val="0031490C"/>
    <w:rsid w:val="00321F4F"/>
    <w:rsid w:val="003221F8"/>
    <w:rsid w:val="0032424C"/>
    <w:rsid w:val="00325E84"/>
    <w:rsid w:val="00326089"/>
    <w:rsid w:val="00326125"/>
    <w:rsid w:val="00327571"/>
    <w:rsid w:val="00331310"/>
    <w:rsid w:val="0033141A"/>
    <w:rsid w:val="00331451"/>
    <w:rsid w:val="00332D02"/>
    <w:rsid w:val="00336187"/>
    <w:rsid w:val="00337FD2"/>
    <w:rsid w:val="00344595"/>
    <w:rsid w:val="00346E05"/>
    <w:rsid w:val="003470C8"/>
    <w:rsid w:val="003509A5"/>
    <w:rsid w:val="0036538C"/>
    <w:rsid w:val="00380B8C"/>
    <w:rsid w:val="003837E6"/>
    <w:rsid w:val="00383F58"/>
    <w:rsid w:val="00386A62"/>
    <w:rsid w:val="00390D3C"/>
    <w:rsid w:val="003A214F"/>
    <w:rsid w:val="003A2B29"/>
    <w:rsid w:val="003A49AD"/>
    <w:rsid w:val="003A5A50"/>
    <w:rsid w:val="003A6138"/>
    <w:rsid w:val="003A6783"/>
    <w:rsid w:val="003B07C9"/>
    <w:rsid w:val="003B3658"/>
    <w:rsid w:val="003C2224"/>
    <w:rsid w:val="003C61D6"/>
    <w:rsid w:val="003C66A6"/>
    <w:rsid w:val="003C6EC8"/>
    <w:rsid w:val="003D0E85"/>
    <w:rsid w:val="003D4F9E"/>
    <w:rsid w:val="003D6B89"/>
    <w:rsid w:val="003E371D"/>
    <w:rsid w:val="003F1121"/>
    <w:rsid w:val="003F6717"/>
    <w:rsid w:val="00401989"/>
    <w:rsid w:val="00407AD8"/>
    <w:rsid w:val="004116D1"/>
    <w:rsid w:val="0041325B"/>
    <w:rsid w:val="004145B7"/>
    <w:rsid w:val="00415A6A"/>
    <w:rsid w:val="00416931"/>
    <w:rsid w:val="00424DEC"/>
    <w:rsid w:val="00425DEE"/>
    <w:rsid w:val="00434CB8"/>
    <w:rsid w:val="0044035B"/>
    <w:rsid w:val="00441AA5"/>
    <w:rsid w:val="00443A21"/>
    <w:rsid w:val="00456993"/>
    <w:rsid w:val="004612C2"/>
    <w:rsid w:val="004718F0"/>
    <w:rsid w:val="00473DDC"/>
    <w:rsid w:val="00475340"/>
    <w:rsid w:val="00475A4A"/>
    <w:rsid w:val="0048152E"/>
    <w:rsid w:val="00485852"/>
    <w:rsid w:val="00485E70"/>
    <w:rsid w:val="00493CFD"/>
    <w:rsid w:val="004958BB"/>
    <w:rsid w:val="00497689"/>
    <w:rsid w:val="004A226E"/>
    <w:rsid w:val="004B0336"/>
    <w:rsid w:val="004B5032"/>
    <w:rsid w:val="004C0F40"/>
    <w:rsid w:val="004C607E"/>
    <w:rsid w:val="004C62C0"/>
    <w:rsid w:val="004C7FBD"/>
    <w:rsid w:val="004D1FAF"/>
    <w:rsid w:val="004D4711"/>
    <w:rsid w:val="004D4F2F"/>
    <w:rsid w:val="004D5F53"/>
    <w:rsid w:val="004E23C4"/>
    <w:rsid w:val="004E2530"/>
    <w:rsid w:val="004F67EC"/>
    <w:rsid w:val="004F7AE3"/>
    <w:rsid w:val="0050165A"/>
    <w:rsid w:val="00505122"/>
    <w:rsid w:val="00507DED"/>
    <w:rsid w:val="00511519"/>
    <w:rsid w:val="00512001"/>
    <w:rsid w:val="00513BD1"/>
    <w:rsid w:val="00514F8F"/>
    <w:rsid w:val="005201CA"/>
    <w:rsid w:val="005229BB"/>
    <w:rsid w:val="00525188"/>
    <w:rsid w:val="00530474"/>
    <w:rsid w:val="005310E7"/>
    <w:rsid w:val="00533536"/>
    <w:rsid w:val="00533EC8"/>
    <w:rsid w:val="00541A7B"/>
    <w:rsid w:val="00543126"/>
    <w:rsid w:val="005443A1"/>
    <w:rsid w:val="00546498"/>
    <w:rsid w:val="00547D42"/>
    <w:rsid w:val="005602DF"/>
    <w:rsid w:val="00561B53"/>
    <w:rsid w:val="005630A5"/>
    <w:rsid w:val="005662C3"/>
    <w:rsid w:val="00570ADA"/>
    <w:rsid w:val="00576DDF"/>
    <w:rsid w:val="00577B92"/>
    <w:rsid w:val="00577DF1"/>
    <w:rsid w:val="0058518A"/>
    <w:rsid w:val="0058525F"/>
    <w:rsid w:val="0058531F"/>
    <w:rsid w:val="00590192"/>
    <w:rsid w:val="0059060D"/>
    <w:rsid w:val="005A5179"/>
    <w:rsid w:val="005A7DB1"/>
    <w:rsid w:val="005A7E9C"/>
    <w:rsid w:val="005B2218"/>
    <w:rsid w:val="005B4BBC"/>
    <w:rsid w:val="005B5B40"/>
    <w:rsid w:val="005B5DE9"/>
    <w:rsid w:val="005B7CDC"/>
    <w:rsid w:val="005C33ED"/>
    <w:rsid w:val="005C3CF2"/>
    <w:rsid w:val="005C4439"/>
    <w:rsid w:val="005D1AE9"/>
    <w:rsid w:val="005D5DC2"/>
    <w:rsid w:val="005E0E99"/>
    <w:rsid w:val="005E1842"/>
    <w:rsid w:val="005E4173"/>
    <w:rsid w:val="005E7750"/>
    <w:rsid w:val="005E7C35"/>
    <w:rsid w:val="005F1B79"/>
    <w:rsid w:val="005F1CEB"/>
    <w:rsid w:val="005F3998"/>
    <w:rsid w:val="00600F24"/>
    <w:rsid w:val="0060110C"/>
    <w:rsid w:val="00610037"/>
    <w:rsid w:val="00610958"/>
    <w:rsid w:val="0061501B"/>
    <w:rsid w:val="00617DAE"/>
    <w:rsid w:val="006210BA"/>
    <w:rsid w:val="006213E2"/>
    <w:rsid w:val="00627DD2"/>
    <w:rsid w:val="00640A0A"/>
    <w:rsid w:val="006421FF"/>
    <w:rsid w:val="0064466A"/>
    <w:rsid w:val="006515B4"/>
    <w:rsid w:val="00652342"/>
    <w:rsid w:val="00652528"/>
    <w:rsid w:val="006570E0"/>
    <w:rsid w:val="006602D5"/>
    <w:rsid w:val="00663580"/>
    <w:rsid w:val="00670B5A"/>
    <w:rsid w:val="006809AA"/>
    <w:rsid w:val="00681150"/>
    <w:rsid w:val="0068453A"/>
    <w:rsid w:val="00684F15"/>
    <w:rsid w:val="00685895"/>
    <w:rsid w:val="00685FB7"/>
    <w:rsid w:val="0068687C"/>
    <w:rsid w:val="00687087"/>
    <w:rsid w:val="0069236B"/>
    <w:rsid w:val="00694B11"/>
    <w:rsid w:val="00697039"/>
    <w:rsid w:val="006972C0"/>
    <w:rsid w:val="006A1012"/>
    <w:rsid w:val="006A2051"/>
    <w:rsid w:val="006A3D74"/>
    <w:rsid w:val="006A7C62"/>
    <w:rsid w:val="006B0AED"/>
    <w:rsid w:val="006B6CC7"/>
    <w:rsid w:val="006B7478"/>
    <w:rsid w:val="006C49DB"/>
    <w:rsid w:val="006C5FFF"/>
    <w:rsid w:val="006D4BF9"/>
    <w:rsid w:val="006D54CF"/>
    <w:rsid w:val="006E3790"/>
    <w:rsid w:val="006E3A61"/>
    <w:rsid w:val="006E6724"/>
    <w:rsid w:val="006E6A20"/>
    <w:rsid w:val="006F3002"/>
    <w:rsid w:val="0070035A"/>
    <w:rsid w:val="0070547F"/>
    <w:rsid w:val="00706D99"/>
    <w:rsid w:val="00710280"/>
    <w:rsid w:val="0071083E"/>
    <w:rsid w:val="00713A2C"/>
    <w:rsid w:val="00715BBB"/>
    <w:rsid w:val="00720F29"/>
    <w:rsid w:val="0072269E"/>
    <w:rsid w:val="0072413A"/>
    <w:rsid w:val="00726A0A"/>
    <w:rsid w:val="00731C5F"/>
    <w:rsid w:val="00737273"/>
    <w:rsid w:val="00740BF5"/>
    <w:rsid w:val="00741A84"/>
    <w:rsid w:val="007446BC"/>
    <w:rsid w:val="00745E5A"/>
    <w:rsid w:val="00747CE2"/>
    <w:rsid w:val="00750181"/>
    <w:rsid w:val="00750B2C"/>
    <w:rsid w:val="00750C5B"/>
    <w:rsid w:val="0075181D"/>
    <w:rsid w:val="007546E1"/>
    <w:rsid w:val="00761D60"/>
    <w:rsid w:val="00763C96"/>
    <w:rsid w:val="00763DBD"/>
    <w:rsid w:val="00765378"/>
    <w:rsid w:val="00773069"/>
    <w:rsid w:val="00773536"/>
    <w:rsid w:val="00773D94"/>
    <w:rsid w:val="00777AF1"/>
    <w:rsid w:val="00781148"/>
    <w:rsid w:val="007822D5"/>
    <w:rsid w:val="00783C64"/>
    <w:rsid w:val="00787F0D"/>
    <w:rsid w:val="00787FFA"/>
    <w:rsid w:val="00793D82"/>
    <w:rsid w:val="007960A2"/>
    <w:rsid w:val="00797695"/>
    <w:rsid w:val="007A0082"/>
    <w:rsid w:val="007A0CED"/>
    <w:rsid w:val="007A1361"/>
    <w:rsid w:val="007A2C20"/>
    <w:rsid w:val="007A74B1"/>
    <w:rsid w:val="007B0AFA"/>
    <w:rsid w:val="007B59D1"/>
    <w:rsid w:val="007B679F"/>
    <w:rsid w:val="007B7F40"/>
    <w:rsid w:val="007C1573"/>
    <w:rsid w:val="007C1C1A"/>
    <w:rsid w:val="007C286C"/>
    <w:rsid w:val="007C3B5E"/>
    <w:rsid w:val="007C52CB"/>
    <w:rsid w:val="007C6A2B"/>
    <w:rsid w:val="007D2B2A"/>
    <w:rsid w:val="007E2580"/>
    <w:rsid w:val="007E3CDF"/>
    <w:rsid w:val="007E50C2"/>
    <w:rsid w:val="007E5ED7"/>
    <w:rsid w:val="007F75FB"/>
    <w:rsid w:val="007F78D6"/>
    <w:rsid w:val="00801C70"/>
    <w:rsid w:val="00807311"/>
    <w:rsid w:val="00810D81"/>
    <w:rsid w:val="0081336C"/>
    <w:rsid w:val="00815B32"/>
    <w:rsid w:val="0081638E"/>
    <w:rsid w:val="00822154"/>
    <w:rsid w:val="0082306D"/>
    <w:rsid w:val="008236B4"/>
    <w:rsid w:val="00824B8D"/>
    <w:rsid w:val="00825CE9"/>
    <w:rsid w:val="0082640F"/>
    <w:rsid w:val="00833581"/>
    <w:rsid w:val="00834898"/>
    <w:rsid w:val="00836F8E"/>
    <w:rsid w:val="00841280"/>
    <w:rsid w:val="008412C1"/>
    <w:rsid w:val="00841381"/>
    <w:rsid w:val="00843A81"/>
    <w:rsid w:val="00853C2E"/>
    <w:rsid w:val="00853C38"/>
    <w:rsid w:val="00853F4A"/>
    <w:rsid w:val="00854BFA"/>
    <w:rsid w:val="00857735"/>
    <w:rsid w:val="00857C81"/>
    <w:rsid w:val="00861B43"/>
    <w:rsid w:val="00861C2E"/>
    <w:rsid w:val="00863BF1"/>
    <w:rsid w:val="008669C4"/>
    <w:rsid w:val="00867F26"/>
    <w:rsid w:val="0087031C"/>
    <w:rsid w:val="00870E0A"/>
    <w:rsid w:val="008742C9"/>
    <w:rsid w:val="008756C2"/>
    <w:rsid w:val="008764B5"/>
    <w:rsid w:val="0088254E"/>
    <w:rsid w:val="00882FCB"/>
    <w:rsid w:val="00885750"/>
    <w:rsid w:val="00885F39"/>
    <w:rsid w:val="008861A5"/>
    <w:rsid w:val="0089190E"/>
    <w:rsid w:val="00893768"/>
    <w:rsid w:val="00894DEA"/>
    <w:rsid w:val="008A4224"/>
    <w:rsid w:val="008B0BEA"/>
    <w:rsid w:val="008B155B"/>
    <w:rsid w:val="008B3278"/>
    <w:rsid w:val="008B71B4"/>
    <w:rsid w:val="008C0114"/>
    <w:rsid w:val="008C065C"/>
    <w:rsid w:val="008C23F5"/>
    <w:rsid w:val="008C2BBD"/>
    <w:rsid w:val="008C43AD"/>
    <w:rsid w:val="008C5AB0"/>
    <w:rsid w:val="008C7CF6"/>
    <w:rsid w:val="008C7DC2"/>
    <w:rsid w:val="008D1787"/>
    <w:rsid w:val="008D27B6"/>
    <w:rsid w:val="008D2B93"/>
    <w:rsid w:val="008D2C81"/>
    <w:rsid w:val="008D39F2"/>
    <w:rsid w:val="008E048D"/>
    <w:rsid w:val="008E54AD"/>
    <w:rsid w:val="008E6191"/>
    <w:rsid w:val="008E730B"/>
    <w:rsid w:val="008F077C"/>
    <w:rsid w:val="008F130F"/>
    <w:rsid w:val="008F1873"/>
    <w:rsid w:val="008F1B68"/>
    <w:rsid w:val="008F1BBD"/>
    <w:rsid w:val="008F4FC2"/>
    <w:rsid w:val="00902BD1"/>
    <w:rsid w:val="00903627"/>
    <w:rsid w:val="009072FF"/>
    <w:rsid w:val="00907542"/>
    <w:rsid w:val="00910200"/>
    <w:rsid w:val="009164C2"/>
    <w:rsid w:val="00921288"/>
    <w:rsid w:val="00925414"/>
    <w:rsid w:val="00926099"/>
    <w:rsid w:val="00926103"/>
    <w:rsid w:val="00927308"/>
    <w:rsid w:val="00932B40"/>
    <w:rsid w:val="00932CB7"/>
    <w:rsid w:val="00942998"/>
    <w:rsid w:val="009436E0"/>
    <w:rsid w:val="0094507D"/>
    <w:rsid w:val="00950D36"/>
    <w:rsid w:val="0095341D"/>
    <w:rsid w:val="00955E63"/>
    <w:rsid w:val="00956D9A"/>
    <w:rsid w:val="0096019C"/>
    <w:rsid w:val="0096266D"/>
    <w:rsid w:val="009667AE"/>
    <w:rsid w:val="00966C53"/>
    <w:rsid w:val="009723E5"/>
    <w:rsid w:val="00974301"/>
    <w:rsid w:val="0097553E"/>
    <w:rsid w:val="00977BE7"/>
    <w:rsid w:val="00980677"/>
    <w:rsid w:val="00980C09"/>
    <w:rsid w:val="00981941"/>
    <w:rsid w:val="00981CB0"/>
    <w:rsid w:val="00982B95"/>
    <w:rsid w:val="00983A48"/>
    <w:rsid w:val="00987727"/>
    <w:rsid w:val="009A02DA"/>
    <w:rsid w:val="009A0E87"/>
    <w:rsid w:val="009A11D3"/>
    <w:rsid w:val="009A1EB0"/>
    <w:rsid w:val="009A3526"/>
    <w:rsid w:val="009A4EA0"/>
    <w:rsid w:val="009A6F8A"/>
    <w:rsid w:val="009B5E31"/>
    <w:rsid w:val="009B7350"/>
    <w:rsid w:val="009B741B"/>
    <w:rsid w:val="009C2675"/>
    <w:rsid w:val="009C45C0"/>
    <w:rsid w:val="009C6314"/>
    <w:rsid w:val="009C6E19"/>
    <w:rsid w:val="009C7B80"/>
    <w:rsid w:val="009D3220"/>
    <w:rsid w:val="009D3CF7"/>
    <w:rsid w:val="009D62DD"/>
    <w:rsid w:val="009E06CC"/>
    <w:rsid w:val="009E15A6"/>
    <w:rsid w:val="009E4D15"/>
    <w:rsid w:val="009E6171"/>
    <w:rsid w:val="009F01EA"/>
    <w:rsid w:val="009F1332"/>
    <w:rsid w:val="009F315E"/>
    <w:rsid w:val="009F46C2"/>
    <w:rsid w:val="009F76E1"/>
    <w:rsid w:val="009F7DB9"/>
    <w:rsid w:val="009F7E1C"/>
    <w:rsid w:val="00A05275"/>
    <w:rsid w:val="00A05766"/>
    <w:rsid w:val="00A07B87"/>
    <w:rsid w:val="00A12DF3"/>
    <w:rsid w:val="00A1647D"/>
    <w:rsid w:val="00A165B7"/>
    <w:rsid w:val="00A20F38"/>
    <w:rsid w:val="00A25658"/>
    <w:rsid w:val="00A35C1D"/>
    <w:rsid w:val="00A369E8"/>
    <w:rsid w:val="00A373DD"/>
    <w:rsid w:val="00A41710"/>
    <w:rsid w:val="00A41AA5"/>
    <w:rsid w:val="00A50B4D"/>
    <w:rsid w:val="00A52AAA"/>
    <w:rsid w:val="00A52E71"/>
    <w:rsid w:val="00A54B87"/>
    <w:rsid w:val="00A55D00"/>
    <w:rsid w:val="00A56426"/>
    <w:rsid w:val="00A574BF"/>
    <w:rsid w:val="00A63D18"/>
    <w:rsid w:val="00A640F6"/>
    <w:rsid w:val="00A645A2"/>
    <w:rsid w:val="00A65738"/>
    <w:rsid w:val="00A67C93"/>
    <w:rsid w:val="00A7208B"/>
    <w:rsid w:val="00A7292D"/>
    <w:rsid w:val="00A73C99"/>
    <w:rsid w:val="00A87647"/>
    <w:rsid w:val="00A93B6A"/>
    <w:rsid w:val="00A9636B"/>
    <w:rsid w:val="00A966D6"/>
    <w:rsid w:val="00AA3999"/>
    <w:rsid w:val="00AA5C1C"/>
    <w:rsid w:val="00AB0E0C"/>
    <w:rsid w:val="00AB110E"/>
    <w:rsid w:val="00AB24A2"/>
    <w:rsid w:val="00AB278E"/>
    <w:rsid w:val="00AB6539"/>
    <w:rsid w:val="00AC51E6"/>
    <w:rsid w:val="00AC6018"/>
    <w:rsid w:val="00AE2CFB"/>
    <w:rsid w:val="00AE3488"/>
    <w:rsid w:val="00AF11D7"/>
    <w:rsid w:val="00AF223E"/>
    <w:rsid w:val="00AF2733"/>
    <w:rsid w:val="00B03429"/>
    <w:rsid w:val="00B05CD9"/>
    <w:rsid w:val="00B05D48"/>
    <w:rsid w:val="00B116AF"/>
    <w:rsid w:val="00B166B3"/>
    <w:rsid w:val="00B215C4"/>
    <w:rsid w:val="00B2389C"/>
    <w:rsid w:val="00B2420B"/>
    <w:rsid w:val="00B25727"/>
    <w:rsid w:val="00B27FC4"/>
    <w:rsid w:val="00B30B05"/>
    <w:rsid w:val="00B33032"/>
    <w:rsid w:val="00B34B96"/>
    <w:rsid w:val="00B43DBC"/>
    <w:rsid w:val="00B449B9"/>
    <w:rsid w:val="00B5158D"/>
    <w:rsid w:val="00B572AE"/>
    <w:rsid w:val="00B628EE"/>
    <w:rsid w:val="00B6707C"/>
    <w:rsid w:val="00B67154"/>
    <w:rsid w:val="00B67472"/>
    <w:rsid w:val="00B67AAB"/>
    <w:rsid w:val="00B75AC2"/>
    <w:rsid w:val="00B75B57"/>
    <w:rsid w:val="00B76563"/>
    <w:rsid w:val="00B8069B"/>
    <w:rsid w:val="00B80DFA"/>
    <w:rsid w:val="00B8385E"/>
    <w:rsid w:val="00B87468"/>
    <w:rsid w:val="00B950D2"/>
    <w:rsid w:val="00B963D0"/>
    <w:rsid w:val="00BA01EB"/>
    <w:rsid w:val="00BA1D50"/>
    <w:rsid w:val="00BA3169"/>
    <w:rsid w:val="00BA4D8D"/>
    <w:rsid w:val="00BA654B"/>
    <w:rsid w:val="00BB1160"/>
    <w:rsid w:val="00BB244B"/>
    <w:rsid w:val="00BB2A3F"/>
    <w:rsid w:val="00BB39D9"/>
    <w:rsid w:val="00BB6209"/>
    <w:rsid w:val="00BB7E67"/>
    <w:rsid w:val="00BC2220"/>
    <w:rsid w:val="00BC2B93"/>
    <w:rsid w:val="00BC45B7"/>
    <w:rsid w:val="00BC46BE"/>
    <w:rsid w:val="00BC7087"/>
    <w:rsid w:val="00BD106B"/>
    <w:rsid w:val="00BD1FF2"/>
    <w:rsid w:val="00BD4507"/>
    <w:rsid w:val="00BD787E"/>
    <w:rsid w:val="00BE079A"/>
    <w:rsid w:val="00BE22AA"/>
    <w:rsid w:val="00BE6720"/>
    <w:rsid w:val="00BE73BC"/>
    <w:rsid w:val="00BE7DDA"/>
    <w:rsid w:val="00BF0CA1"/>
    <w:rsid w:val="00BF2547"/>
    <w:rsid w:val="00BF5E11"/>
    <w:rsid w:val="00BF7FDF"/>
    <w:rsid w:val="00C01CA2"/>
    <w:rsid w:val="00C02998"/>
    <w:rsid w:val="00C05B5B"/>
    <w:rsid w:val="00C06B0E"/>
    <w:rsid w:val="00C11876"/>
    <w:rsid w:val="00C145C5"/>
    <w:rsid w:val="00C2290C"/>
    <w:rsid w:val="00C25857"/>
    <w:rsid w:val="00C25C08"/>
    <w:rsid w:val="00C30C2D"/>
    <w:rsid w:val="00C332FE"/>
    <w:rsid w:val="00C438CC"/>
    <w:rsid w:val="00C43AAC"/>
    <w:rsid w:val="00C4474E"/>
    <w:rsid w:val="00C50A8F"/>
    <w:rsid w:val="00C536C9"/>
    <w:rsid w:val="00C54617"/>
    <w:rsid w:val="00C56DB9"/>
    <w:rsid w:val="00C57BF9"/>
    <w:rsid w:val="00C605EA"/>
    <w:rsid w:val="00C60787"/>
    <w:rsid w:val="00C61314"/>
    <w:rsid w:val="00C67DCA"/>
    <w:rsid w:val="00C7314E"/>
    <w:rsid w:val="00C75D1A"/>
    <w:rsid w:val="00C76422"/>
    <w:rsid w:val="00C83097"/>
    <w:rsid w:val="00C91CCE"/>
    <w:rsid w:val="00C937F4"/>
    <w:rsid w:val="00C9394A"/>
    <w:rsid w:val="00C943A5"/>
    <w:rsid w:val="00C952AF"/>
    <w:rsid w:val="00C95346"/>
    <w:rsid w:val="00CA0905"/>
    <w:rsid w:val="00CB1A27"/>
    <w:rsid w:val="00CB53D5"/>
    <w:rsid w:val="00CC0837"/>
    <w:rsid w:val="00CC188B"/>
    <w:rsid w:val="00CC20DB"/>
    <w:rsid w:val="00CC5DF6"/>
    <w:rsid w:val="00CC69CF"/>
    <w:rsid w:val="00CC7D20"/>
    <w:rsid w:val="00CD02FE"/>
    <w:rsid w:val="00CD5928"/>
    <w:rsid w:val="00CD700F"/>
    <w:rsid w:val="00CE7812"/>
    <w:rsid w:val="00CF0279"/>
    <w:rsid w:val="00CF323A"/>
    <w:rsid w:val="00CF74FF"/>
    <w:rsid w:val="00D02D48"/>
    <w:rsid w:val="00D04D6F"/>
    <w:rsid w:val="00D076F3"/>
    <w:rsid w:val="00D12512"/>
    <w:rsid w:val="00D12D3F"/>
    <w:rsid w:val="00D14253"/>
    <w:rsid w:val="00D158E9"/>
    <w:rsid w:val="00D202F5"/>
    <w:rsid w:val="00D21BC9"/>
    <w:rsid w:val="00D22BAE"/>
    <w:rsid w:val="00D24CCA"/>
    <w:rsid w:val="00D24F22"/>
    <w:rsid w:val="00D260E9"/>
    <w:rsid w:val="00D27B5C"/>
    <w:rsid w:val="00D310F3"/>
    <w:rsid w:val="00D32B3E"/>
    <w:rsid w:val="00D3343D"/>
    <w:rsid w:val="00D3571D"/>
    <w:rsid w:val="00D35F0A"/>
    <w:rsid w:val="00D36245"/>
    <w:rsid w:val="00D404CF"/>
    <w:rsid w:val="00D40557"/>
    <w:rsid w:val="00D44426"/>
    <w:rsid w:val="00D44823"/>
    <w:rsid w:val="00D4561D"/>
    <w:rsid w:val="00D4601D"/>
    <w:rsid w:val="00D477CE"/>
    <w:rsid w:val="00D601DF"/>
    <w:rsid w:val="00D6116E"/>
    <w:rsid w:val="00D63AB2"/>
    <w:rsid w:val="00D64482"/>
    <w:rsid w:val="00D64574"/>
    <w:rsid w:val="00D67988"/>
    <w:rsid w:val="00D7588C"/>
    <w:rsid w:val="00D76407"/>
    <w:rsid w:val="00D7641E"/>
    <w:rsid w:val="00D76B10"/>
    <w:rsid w:val="00D82497"/>
    <w:rsid w:val="00D8655C"/>
    <w:rsid w:val="00D90EF8"/>
    <w:rsid w:val="00D91F81"/>
    <w:rsid w:val="00D92B75"/>
    <w:rsid w:val="00D94BD4"/>
    <w:rsid w:val="00D96635"/>
    <w:rsid w:val="00D970E4"/>
    <w:rsid w:val="00DA2D0A"/>
    <w:rsid w:val="00DA2FB1"/>
    <w:rsid w:val="00DA3E4E"/>
    <w:rsid w:val="00DA4356"/>
    <w:rsid w:val="00DA4719"/>
    <w:rsid w:val="00DA6667"/>
    <w:rsid w:val="00DA6D43"/>
    <w:rsid w:val="00DB0F1B"/>
    <w:rsid w:val="00DB1EAA"/>
    <w:rsid w:val="00DB45BA"/>
    <w:rsid w:val="00DB5EEF"/>
    <w:rsid w:val="00DC0953"/>
    <w:rsid w:val="00DC304A"/>
    <w:rsid w:val="00DC476C"/>
    <w:rsid w:val="00DC55EB"/>
    <w:rsid w:val="00DC6709"/>
    <w:rsid w:val="00DD4924"/>
    <w:rsid w:val="00DD5829"/>
    <w:rsid w:val="00DE1F66"/>
    <w:rsid w:val="00DF0032"/>
    <w:rsid w:val="00DF0F97"/>
    <w:rsid w:val="00DF1DDF"/>
    <w:rsid w:val="00DF2519"/>
    <w:rsid w:val="00DF3C14"/>
    <w:rsid w:val="00DF77B0"/>
    <w:rsid w:val="00E0449F"/>
    <w:rsid w:val="00E10601"/>
    <w:rsid w:val="00E10D56"/>
    <w:rsid w:val="00E10F98"/>
    <w:rsid w:val="00E1195B"/>
    <w:rsid w:val="00E13227"/>
    <w:rsid w:val="00E13675"/>
    <w:rsid w:val="00E13BED"/>
    <w:rsid w:val="00E14B59"/>
    <w:rsid w:val="00E151DB"/>
    <w:rsid w:val="00E163F2"/>
    <w:rsid w:val="00E245C0"/>
    <w:rsid w:val="00E325D6"/>
    <w:rsid w:val="00E32CA6"/>
    <w:rsid w:val="00E375F1"/>
    <w:rsid w:val="00E376BD"/>
    <w:rsid w:val="00E40EB8"/>
    <w:rsid w:val="00E45460"/>
    <w:rsid w:val="00E54579"/>
    <w:rsid w:val="00E5698B"/>
    <w:rsid w:val="00E56BC6"/>
    <w:rsid w:val="00E56D8C"/>
    <w:rsid w:val="00E60387"/>
    <w:rsid w:val="00E6057E"/>
    <w:rsid w:val="00E60DCC"/>
    <w:rsid w:val="00E640EF"/>
    <w:rsid w:val="00E661A4"/>
    <w:rsid w:val="00E6700C"/>
    <w:rsid w:val="00E675C5"/>
    <w:rsid w:val="00E71ADB"/>
    <w:rsid w:val="00E74A72"/>
    <w:rsid w:val="00E7531B"/>
    <w:rsid w:val="00E76FE8"/>
    <w:rsid w:val="00E7757D"/>
    <w:rsid w:val="00E822DE"/>
    <w:rsid w:val="00E82A31"/>
    <w:rsid w:val="00E83B59"/>
    <w:rsid w:val="00E845CF"/>
    <w:rsid w:val="00E8673E"/>
    <w:rsid w:val="00E909F9"/>
    <w:rsid w:val="00E91772"/>
    <w:rsid w:val="00E93F97"/>
    <w:rsid w:val="00E94172"/>
    <w:rsid w:val="00E9600E"/>
    <w:rsid w:val="00EA39E2"/>
    <w:rsid w:val="00EA5DFA"/>
    <w:rsid w:val="00EA7C7E"/>
    <w:rsid w:val="00EB11D6"/>
    <w:rsid w:val="00EB6111"/>
    <w:rsid w:val="00EC7CF2"/>
    <w:rsid w:val="00ED086E"/>
    <w:rsid w:val="00ED4D55"/>
    <w:rsid w:val="00ED637A"/>
    <w:rsid w:val="00ED6D64"/>
    <w:rsid w:val="00ED788C"/>
    <w:rsid w:val="00EE4391"/>
    <w:rsid w:val="00EE4604"/>
    <w:rsid w:val="00EE73BE"/>
    <w:rsid w:val="00EF254D"/>
    <w:rsid w:val="00EF4233"/>
    <w:rsid w:val="00EF7ED2"/>
    <w:rsid w:val="00F00E57"/>
    <w:rsid w:val="00F03D39"/>
    <w:rsid w:val="00F053E4"/>
    <w:rsid w:val="00F0607D"/>
    <w:rsid w:val="00F06E89"/>
    <w:rsid w:val="00F0730E"/>
    <w:rsid w:val="00F15113"/>
    <w:rsid w:val="00F17A4D"/>
    <w:rsid w:val="00F24D52"/>
    <w:rsid w:val="00F34988"/>
    <w:rsid w:val="00F3663C"/>
    <w:rsid w:val="00F403AB"/>
    <w:rsid w:val="00F410E6"/>
    <w:rsid w:val="00F421B1"/>
    <w:rsid w:val="00F423C5"/>
    <w:rsid w:val="00F42A65"/>
    <w:rsid w:val="00F45079"/>
    <w:rsid w:val="00F45C5A"/>
    <w:rsid w:val="00F46A83"/>
    <w:rsid w:val="00F51FFC"/>
    <w:rsid w:val="00F5395E"/>
    <w:rsid w:val="00F62F2E"/>
    <w:rsid w:val="00F66A0E"/>
    <w:rsid w:val="00F7104E"/>
    <w:rsid w:val="00F72967"/>
    <w:rsid w:val="00F73A73"/>
    <w:rsid w:val="00F75024"/>
    <w:rsid w:val="00F86CBB"/>
    <w:rsid w:val="00F87C9C"/>
    <w:rsid w:val="00F90371"/>
    <w:rsid w:val="00F91A10"/>
    <w:rsid w:val="00F93269"/>
    <w:rsid w:val="00F93A2E"/>
    <w:rsid w:val="00F95DB4"/>
    <w:rsid w:val="00F95E09"/>
    <w:rsid w:val="00FA1CAB"/>
    <w:rsid w:val="00FA30DA"/>
    <w:rsid w:val="00FA40B3"/>
    <w:rsid w:val="00FA44D8"/>
    <w:rsid w:val="00FA4611"/>
    <w:rsid w:val="00FA51B0"/>
    <w:rsid w:val="00FA56FE"/>
    <w:rsid w:val="00FB1381"/>
    <w:rsid w:val="00FB1C29"/>
    <w:rsid w:val="00FB561C"/>
    <w:rsid w:val="00FB6874"/>
    <w:rsid w:val="00FC3937"/>
    <w:rsid w:val="00FC4E4A"/>
    <w:rsid w:val="00FC7D4B"/>
    <w:rsid w:val="00FD4EA4"/>
    <w:rsid w:val="00FE3A32"/>
    <w:rsid w:val="00FE42DA"/>
    <w:rsid w:val="00FE5A82"/>
    <w:rsid w:val="00FE613B"/>
    <w:rsid w:val="00FE6AB0"/>
    <w:rsid w:val="00FF0A47"/>
    <w:rsid w:val="00FF437B"/>
    <w:rsid w:val="00FF4E94"/>
    <w:rsid w:val="00FF5117"/>
    <w:rsid w:val="00FF597D"/>
    <w:rsid w:val="00FF6646"/>
    <w:rsid w:val="01835DC6"/>
    <w:rsid w:val="02C1B21A"/>
    <w:rsid w:val="07E5F531"/>
    <w:rsid w:val="07FE952D"/>
    <w:rsid w:val="0A8900B7"/>
    <w:rsid w:val="0F3D4F4B"/>
    <w:rsid w:val="1067A98B"/>
    <w:rsid w:val="1347655A"/>
    <w:rsid w:val="13FE2295"/>
    <w:rsid w:val="19F22A99"/>
    <w:rsid w:val="1B6613FE"/>
    <w:rsid w:val="1C22B76D"/>
    <w:rsid w:val="1D68D83C"/>
    <w:rsid w:val="24D69BC4"/>
    <w:rsid w:val="25275998"/>
    <w:rsid w:val="2534FCE2"/>
    <w:rsid w:val="29E53176"/>
    <w:rsid w:val="2BAF725E"/>
    <w:rsid w:val="2C0F753C"/>
    <w:rsid w:val="2C829B42"/>
    <w:rsid w:val="2F3B4047"/>
    <w:rsid w:val="2F4F4118"/>
    <w:rsid w:val="352EA622"/>
    <w:rsid w:val="35991616"/>
    <w:rsid w:val="4255FBEE"/>
    <w:rsid w:val="4295C9A1"/>
    <w:rsid w:val="4348B934"/>
    <w:rsid w:val="48520F16"/>
    <w:rsid w:val="4FB91218"/>
    <w:rsid w:val="53107955"/>
    <w:rsid w:val="548BC727"/>
    <w:rsid w:val="5696EAAF"/>
    <w:rsid w:val="583B4583"/>
    <w:rsid w:val="5DC97285"/>
    <w:rsid w:val="613C8967"/>
    <w:rsid w:val="6442CC09"/>
    <w:rsid w:val="697C1829"/>
    <w:rsid w:val="6AE72285"/>
    <w:rsid w:val="6B227B4D"/>
    <w:rsid w:val="71AD6C43"/>
    <w:rsid w:val="7661205C"/>
    <w:rsid w:val="7F8AA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E2A724BF-7829-4307-AC3F-48E15A08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Fuerte">
    <w:name w:val="Strong"/>
    <w:basedOn w:val="Fuentedeprrafopredeter"/>
    <w:uiPriority w:val="22"/>
    <w:qFormat/>
    <w:rsid w:val="00234EDB"/>
    <w:rPr>
      <w:b/>
      <w:bCs/>
    </w:rPr>
  </w:style>
  <w:style w:type="character" w:customStyle="1" w:styleId="Ninguno">
    <w:name w:val="Ninguno"/>
    <w:rsid w:val="009F76E1"/>
  </w:style>
  <w:style w:type="paragraph" w:customStyle="1" w:styleId="Poromisin">
    <w:name w:val="Por omisión"/>
    <w:rsid w:val="009F76E1"/>
    <w:pPr>
      <w:spacing w:before="160" w:after="0" w:line="288" w:lineRule="auto"/>
    </w:pPr>
    <w:rPr>
      <w:rFonts w:ascii="helvetica neue" w:eastAsia="Arial Unicode MS" w:hAnsi="helvetica neue" w:cs="Arial Unicode MS"/>
      <w:color w:val="000000"/>
      <w:sz w:val="24"/>
      <w:szCs w:val="24"/>
      <w:lang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juan.gomez@manpowergroup.es"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manpowergroup.es" TargetMode="External" Type="http://schemas.openxmlformats.org/officeDocument/2006/relationships/hyperlink"/>
<Relationship Id="rId8" Target="mailto:comunicacion.manpowergroup@havas.com" TargetMode="External" Type="http://schemas.openxmlformats.org/officeDocument/2006/relationships/hyperlink"/>
<Relationship Id="rId9" Target="mailto:gala.diaz@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1442</Words>
  <Characters>7933</Characters>
  <Application/>
  <DocSecurity>0</DocSecurity>
  <Lines>66</Lines>
  <Paragraphs>18</Paragraphs>
  <ScaleCrop>false</ScaleCrop>
  <Company/>
  <LinksUpToDate>false</LinksUpToDate>
  <CharactersWithSpaces>9357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