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5BE3" w14:textId="53215DE4" w:rsidR="003436D7" w:rsidRDefault="003436D7" w:rsidP="008B3FDB">
      <w:pPr>
        <w:pBdr>
          <w:top w:val="nil"/>
          <w:left w:val="nil"/>
          <w:bottom w:val="nil"/>
          <w:right w:val="nil"/>
          <w:between w:val="nil"/>
        </w:pBdr>
        <w:spacing w:before="120" w:line="288" w:lineRule="auto"/>
        <w:jc w:val="center"/>
        <w:rPr>
          <w:rFonts w:ascii="Arial" w:eastAsia="Arial" w:hAnsi="Arial" w:cs="Arial"/>
          <w:b/>
          <w:color w:val="000000"/>
          <w:sz w:val="20"/>
          <w:szCs w:val="20"/>
          <w:u w:val="single"/>
        </w:rPr>
      </w:pPr>
      <w:bookmarkStart w:id="0" w:name="_Hlk90222956"/>
      <w:bookmarkStart w:id="1" w:name="_Hlk90207554"/>
      <w:r w:rsidRPr="003436D7">
        <w:rPr>
          <w:rFonts w:ascii="Arial" w:eastAsia="Arial" w:hAnsi="Arial" w:cs="Arial"/>
          <w:b/>
          <w:color w:val="000000"/>
          <w:sz w:val="20"/>
          <w:szCs w:val="20"/>
          <w:u w:val="single"/>
        </w:rPr>
        <w:t xml:space="preserve">Estudio de Proyección de Empleo de ManpowerGroup para </w:t>
      </w:r>
      <w:r w:rsidR="007805CC">
        <w:rPr>
          <w:rFonts w:ascii="Arial" w:eastAsia="Arial" w:hAnsi="Arial" w:cs="Arial"/>
          <w:b/>
          <w:color w:val="000000"/>
          <w:sz w:val="20"/>
          <w:szCs w:val="20"/>
          <w:u w:val="single"/>
        </w:rPr>
        <w:t>octubre</w:t>
      </w:r>
      <w:r w:rsidRPr="003436D7">
        <w:rPr>
          <w:rFonts w:ascii="Arial" w:eastAsia="Arial" w:hAnsi="Arial" w:cs="Arial"/>
          <w:b/>
          <w:color w:val="000000"/>
          <w:sz w:val="20"/>
          <w:szCs w:val="20"/>
          <w:u w:val="single"/>
        </w:rPr>
        <w:t>-</w:t>
      </w:r>
      <w:r w:rsidR="007805CC">
        <w:rPr>
          <w:rFonts w:ascii="Arial" w:eastAsia="Arial" w:hAnsi="Arial" w:cs="Arial"/>
          <w:b/>
          <w:color w:val="000000"/>
          <w:sz w:val="20"/>
          <w:szCs w:val="20"/>
          <w:u w:val="single"/>
        </w:rPr>
        <w:t>noviembre</w:t>
      </w:r>
      <w:r w:rsidR="00CC3472" w:rsidRPr="003436D7">
        <w:rPr>
          <w:rFonts w:ascii="Arial" w:eastAsia="Arial" w:hAnsi="Arial" w:cs="Arial"/>
          <w:b/>
          <w:color w:val="000000"/>
          <w:sz w:val="20"/>
          <w:szCs w:val="20"/>
          <w:u w:val="single"/>
        </w:rPr>
        <w:t xml:space="preserve"> </w:t>
      </w:r>
      <w:r w:rsidR="00CC3472">
        <w:rPr>
          <w:rFonts w:ascii="Arial" w:eastAsia="Arial" w:hAnsi="Arial" w:cs="Arial"/>
          <w:b/>
          <w:color w:val="000000"/>
          <w:sz w:val="20"/>
          <w:szCs w:val="20"/>
          <w:u w:val="single"/>
        </w:rPr>
        <w:t>2025</w:t>
      </w:r>
    </w:p>
    <w:p w14:paraId="6E076C19" w14:textId="77777777" w:rsidR="002B2305" w:rsidRPr="003436D7" w:rsidRDefault="002B2305" w:rsidP="008B3FDB">
      <w:pPr>
        <w:pBdr>
          <w:top w:val="nil"/>
          <w:left w:val="nil"/>
          <w:bottom w:val="nil"/>
          <w:right w:val="nil"/>
          <w:between w:val="nil"/>
        </w:pBdr>
        <w:spacing w:before="120" w:line="288" w:lineRule="auto"/>
        <w:jc w:val="center"/>
        <w:rPr>
          <w:rFonts w:ascii="Arial" w:eastAsia="Arial" w:hAnsi="Arial" w:cs="Arial"/>
          <w:b/>
          <w:color w:val="000000"/>
          <w:sz w:val="20"/>
          <w:szCs w:val="20"/>
          <w:u w:val="single"/>
        </w:rPr>
      </w:pPr>
    </w:p>
    <w:p w14:paraId="16E0517D" w14:textId="6F2AF603" w:rsidR="00C4624D" w:rsidRPr="00C4624D" w:rsidRDefault="00FC7734" w:rsidP="00FC7734">
      <w:pPr>
        <w:spacing w:before="120" w:line="288" w:lineRule="auto"/>
        <w:jc w:val="center"/>
        <w:rPr>
          <w:rFonts w:ascii="Arial" w:eastAsia="Arial" w:hAnsi="Arial" w:cs="Arial"/>
          <w:b/>
          <w:sz w:val="23"/>
          <w:szCs w:val="23"/>
        </w:rPr>
      </w:pPr>
      <w:bookmarkStart w:id="2" w:name="_Hlk113557077"/>
      <w:r w:rsidRPr="00FC7734">
        <w:rPr>
          <w:rFonts w:ascii="Arial" w:eastAsia="Arial" w:hAnsi="Arial" w:cs="Arial"/>
          <w:b/>
          <w:bCs/>
          <w:sz w:val="36"/>
          <w:szCs w:val="36"/>
        </w:rPr>
        <w:t xml:space="preserve">Las previsiones de contratación para el cuarto trimestre en el sector </w:t>
      </w:r>
      <w:r w:rsidR="00037A0F">
        <w:rPr>
          <w:rFonts w:ascii="Arial" w:eastAsia="Arial" w:hAnsi="Arial" w:cs="Arial"/>
          <w:b/>
          <w:bCs/>
          <w:sz w:val="36"/>
          <w:szCs w:val="36"/>
        </w:rPr>
        <w:t>F</w:t>
      </w:r>
      <w:r w:rsidRPr="00FC7734">
        <w:rPr>
          <w:rFonts w:ascii="Arial" w:eastAsia="Arial" w:hAnsi="Arial" w:cs="Arial"/>
          <w:b/>
          <w:bCs/>
          <w:sz w:val="36"/>
          <w:szCs w:val="36"/>
        </w:rPr>
        <w:t>inanciero e inmobiliario suben 10 puntos respecto al trimestre anterior</w:t>
      </w:r>
    </w:p>
    <w:p w14:paraId="007557BA" w14:textId="39CD6D0C" w:rsidR="00572170" w:rsidRPr="008B3FDB" w:rsidRDefault="001F6D47" w:rsidP="008B3FDB">
      <w:pPr>
        <w:pStyle w:val="Prrafodelista"/>
        <w:numPr>
          <w:ilvl w:val="0"/>
          <w:numId w:val="7"/>
        </w:numPr>
        <w:spacing w:before="120" w:line="288" w:lineRule="auto"/>
        <w:contextualSpacing w:val="0"/>
        <w:jc w:val="both"/>
        <w:rPr>
          <w:rFonts w:ascii="Arial" w:eastAsia="Arial" w:hAnsi="Arial" w:cs="Arial"/>
          <w:b/>
          <w:sz w:val="23"/>
          <w:szCs w:val="23"/>
        </w:rPr>
      </w:pPr>
      <w:r>
        <w:rPr>
          <w:rFonts w:ascii="Arial" w:eastAsia="Arial" w:hAnsi="Arial" w:cs="Arial"/>
          <w:b/>
          <w:bCs/>
          <w:sz w:val="23"/>
          <w:szCs w:val="23"/>
        </w:rPr>
        <w:t xml:space="preserve">Con un </w:t>
      </w:r>
      <w:r w:rsidR="007805CC">
        <w:rPr>
          <w:rFonts w:ascii="Arial" w:eastAsia="Arial" w:hAnsi="Arial" w:cs="Arial"/>
          <w:b/>
          <w:bCs/>
          <w:sz w:val="23"/>
          <w:szCs w:val="23"/>
        </w:rPr>
        <w:t>19</w:t>
      </w:r>
      <w:r>
        <w:rPr>
          <w:rFonts w:ascii="Arial" w:eastAsia="Arial" w:hAnsi="Arial" w:cs="Arial"/>
          <w:b/>
          <w:bCs/>
          <w:sz w:val="23"/>
          <w:szCs w:val="23"/>
        </w:rPr>
        <w:t>% de expectativas netas, l</w:t>
      </w:r>
      <w:r w:rsidR="007544C7" w:rsidRPr="00572170">
        <w:rPr>
          <w:rFonts w:ascii="Arial" w:eastAsia="Arial" w:hAnsi="Arial" w:cs="Arial"/>
          <w:b/>
          <w:bCs/>
          <w:sz w:val="23"/>
          <w:szCs w:val="23"/>
        </w:rPr>
        <w:t xml:space="preserve">as </w:t>
      </w:r>
      <w:r w:rsidR="007544C7">
        <w:rPr>
          <w:rFonts w:ascii="Arial" w:eastAsia="Arial" w:hAnsi="Arial" w:cs="Arial"/>
          <w:b/>
          <w:bCs/>
          <w:sz w:val="23"/>
          <w:szCs w:val="23"/>
        </w:rPr>
        <w:t xml:space="preserve">compañías </w:t>
      </w:r>
      <w:r w:rsidR="007544C7" w:rsidRPr="00572170">
        <w:rPr>
          <w:rFonts w:ascii="Arial" w:eastAsia="Arial" w:hAnsi="Arial" w:cs="Arial"/>
          <w:b/>
          <w:bCs/>
          <w:sz w:val="23"/>
          <w:szCs w:val="23"/>
        </w:rPr>
        <w:t xml:space="preserve">del sector </w:t>
      </w:r>
      <w:r w:rsidR="007805CC">
        <w:rPr>
          <w:rFonts w:ascii="Arial" w:eastAsia="Arial" w:hAnsi="Arial" w:cs="Arial"/>
          <w:b/>
          <w:bCs/>
          <w:sz w:val="23"/>
          <w:szCs w:val="23"/>
        </w:rPr>
        <w:t>crecen</w:t>
      </w:r>
      <w:r>
        <w:rPr>
          <w:rFonts w:ascii="Arial" w:eastAsia="Arial" w:hAnsi="Arial" w:cs="Arial"/>
          <w:b/>
          <w:bCs/>
          <w:sz w:val="23"/>
          <w:szCs w:val="23"/>
        </w:rPr>
        <w:t xml:space="preserve"> </w:t>
      </w:r>
      <w:r w:rsidR="007805CC">
        <w:rPr>
          <w:rFonts w:ascii="Arial" w:eastAsia="Arial" w:hAnsi="Arial" w:cs="Arial"/>
          <w:b/>
          <w:bCs/>
          <w:sz w:val="23"/>
          <w:szCs w:val="23"/>
        </w:rPr>
        <w:t>10 puntos</w:t>
      </w:r>
      <w:r w:rsidR="00572170" w:rsidRPr="00572170">
        <w:rPr>
          <w:rFonts w:ascii="Arial" w:eastAsia="Arial" w:hAnsi="Arial" w:cs="Arial"/>
          <w:b/>
          <w:bCs/>
          <w:sz w:val="23"/>
          <w:szCs w:val="23"/>
        </w:rPr>
        <w:t xml:space="preserve"> respecto al trimestre anterior y se sitúan </w:t>
      </w:r>
      <w:r w:rsidR="007805CC">
        <w:rPr>
          <w:rFonts w:ascii="Arial" w:eastAsia="Arial" w:hAnsi="Arial" w:cs="Arial"/>
          <w:b/>
          <w:bCs/>
          <w:sz w:val="23"/>
          <w:szCs w:val="23"/>
        </w:rPr>
        <w:t>2</w:t>
      </w:r>
      <w:r w:rsidR="00572170" w:rsidRPr="00572170">
        <w:rPr>
          <w:rFonts w:ascii="Arial" w:eastAsia="Arial" w:hAnsi="Arial" w:cs="Arial"/>
          <w:b/>
          <w:bCs/>
          <w:sz w:val="23"/>
          <w:szCs w:val="23"/>
        </w:rPr>
        <w:t xml:space="preserve"> puntos por encima de la media nacional</w:t>
      </w:r>
      <w:r>
        <w:rPr>
          <w:rFonts w:ascii="Arial" w:eastAsia="Arial" w:hAnsi="Arial" w:cs="Arial"/>
          <w:b/>
          <w:bCs/>
          <w:sz w:val="23"/>
          <w:szCs w:val="23"/>
        </w:rPr>
        <w:t xml:space="preserve"> (1</w:t>
      </w:r>
      <w:r w:rsidR="007805CC">
        <w:rPr>
          <w:rFonts w:ascii="Arial" w:eastAsia="Arial" w:hAnsi="Arial" w:cs="Arial"/>
          <w:b/>
          <w:bCs/>
          <w:sz w:val="23"/>
          <w:szCs w:val="23"/>
        </w:rPr>
        <w:t>7</w:t>
      </w:r>
      <w:r>
        <w:rPr>
          <w:rFonts w:ascii="Arial" w:eastAsia="Arial" w:hAnsi="Arial" w:cs="Arial"/>
          <w:b/>
          <w:bCs/>
          <w:sz w:val="23"/>
          <w:szCs w:val="23"/>
        </w:rPr>
        <w:t>%)</w:t>
      </w:r>
    </w:p>
    <w:p w14:paraId="3B4B87C3" w14:textId="6B439612" w:rsidR="00572170" w:rsidRPr="00572170" w:rsidRDefault="00333D12" w:rsidP="008B3FDB">
      <w:pPr>
        <w:pStyle w:val="Prrafodelista"/>
        <w:numPr>
          <w:ilvl w:val="0"/>
          <w:numId w:val="7"/>
        </w:numPr>
        <w:spacing w:before="120" w:line="288" w:lineRule="auto"/>
        <w:contextualSpacing w:val="0"/>
        <w:jc w:val="both"/>
        <w:rPr>
          <w:rFonts w:ascii="Arial" w:eastAsia="Arial" w:hAnsi="Arial" w:cs="Arial"/>
          <w:b/>
          <w:sz w:val="23"/>
          <w:szCs w:val="23"/>
        </w:rPr>
      </w:pPr>
      <w:r>
        <w:rPr>
          <w:rFonts w:ascii="Arial" w:eastAsia="Arial" w:hAnsi="Arial" w:cs="Arial"/>
          <w:b/>
          <w:bCs/>
          <w:sz w:val="23"/>
          <w:szCs w:val="23"/>
        </w:rPr>
        <w:t>Con el mismo resultado encontramos el sector Salud y farmacia (19%)</w:t>
      </w:r>
    </w:p>
    <w:p w14:paraId="446095D0" w14:textId="54E35631" w:rsidR="00DA428E" w:rsidRPr="00DA428E" w:rsidRDefault="00333D12" w:rsidP="00DA428E">
      <w:pPr>
        <w:pStyle w:val="Prrafodelista"/>
        <w:numPr>
          <w:ilvl w:val="0"/>
          <w:numId w:val="7"/>
        </w:numPr>
        <w:spacing w:before="120" w:line="288" w:lineRule="auto"/>
        <w:contextualSpacing w:val="0"/>
        <w:jc w:val="both"/>
        <w:rPr>
          <w:rFonts w:ascii="Arial" w:eastAsia="Arial" w:hAnsi="Arial" w:cs="Arial"/>
          <w:b/>
          <w:sz w:val="23"/>
          <w:szCs w:val="23"/>
        </w:rPr>
      </w:pPr>
      <w:r>
        <w:rPr>
          <w:rFonts w:ascii="Arial" w:eastAsia="Arial" w:hAnsi="Arial" w:cs="Arial"/>
          <w:b/>
          <w:sz w:val="23"/>
          <w:szCs w:val="23"/>
        </w:rPr>
        <w:t xml:space="preserve">Tecnología ocupa un trimestre más el mejor puesto, con un 31% y </w:t>
      </w:r>
      <w:r w:rsidR="007544C7">
        <w:rPr>
          <w:rFonts w:ascii="Arial" w:eastAsia="Arial" w:hAnsi="Arial" w:cs="Arial"/>
          <w:b/>
          <w:sz w:val="23"/>
          <w:szCs w:val="23"/>
        </w:rPr>
        <w:t xml:space="preserve">Energía y </w:t>
      </w:r>
      <w:r w:rsidR="009632D9">
        <w:rPr>
          <w:rFonts w:ascii="Arial" w:eastAsia="Arial" w:hAnsi="Arial" w:cs="Arial"/>
          <w:b/>
          <w:sz w:val="23"/>
          <w:szCs w:val="23"/>
        </w:rPr>
        <w:t>s</w:t>
      </w:r>
      <w:r w:rsidR="007544C7">
        <w:rPr>
          <w:rFonts w:ascii="Arial" w:eastAsia="Arial" w:hAnsi="Arial" w:cs="Arial"/>
          <w:b/>
          <w:sz w:val="23"/>
          <w:szCs w:val="23"/>
        </w:rPr>
        <w:t>uministros</w:t>
      </w:r>
      <w:r w:rsidR="007544C7" w:rsidRPr="00572170">
        <w:rPr>
          <w:rFonts w:ascii="Arial" w:eastAsia="Arial" w:hAnsi="Arial" w:cs="Arial"/>
          <w:b/>
          <w:sz w:val="23"/>
          <w:szCs w:val="23"/>
        </w:rPr>
        <w:t xml:space="preserve"> registra la previsión</w:t>
      </w:r>
      <w:r w:rsidR="009632D9">
        <w:rPr>
          <w:rFonts w:ascii="Arial" w:eastAsia="Arial" w:hAnsi="Arial" w:cs="Arial"/>
          <w:b/>
          <w:sz w:val="23"/>
          <w:szCs w:val="23"/>
        </w:rPr>
        <w:t xml:space="preserve"> más baja</w:t>
      </w:r>
      <w:r w:rsidR="007544C7" w:rsidRPr="00572170">
        <w:rPr>
          <w:rFonts w:ascii="Arial" w:eastAsia="Arial" w:hAnsi="Arial" w:cs="Arial"/>
          <w:b/>
          <w:sz w:val="23"/>
          <w:szCs w:val="23"/>
        </w:rPr>
        <w:t xml:space="preserve">, con un </w:t>
      </w:r>
      <w:r>
        <w:rPr>
          <w:rFonts w:ascii="Arial" w:eastAsia="Arial" w:hAnsi="Arial" w:cs="Arial"/>
          <w:b/>
          <w:sz w:val="23"/>
          <w:szCs w:val="23"/>
        </w:rPr>
        <w:t>3</w:t>
      </w:r>
      <w:r w:rsidR="007544C7" w:rsidRPr="00572170">
        <w:rPr>
          <w:rFonts w:ascii="Arial" w:eastAsia="Arial" w:hAnsi="Arial" w:cs="Arial"/>
          <w:b/>
          <w:sz w:val="23"/>
          <w:szCs w:val="23"/>
        </w:rPr>
        <w:t>%</w:t>
      </w:r>
      <w:r w:rsidR="007544C7">
        <w:rPr>
          <w:rFonts w:ascii="Arial" w:eastAsia="Arial" w:hAnsi="Arial" w:cs="Arial"/>
          <w:b/>
          <w:sz w:val="23"/>
          <w:szCs w:val="23"/>
        </w:rPr>
        <w:t xml:space="preserve"> </w:t>
      </w:r>
      <w:r w:rsidR="009632D9">
        <w:rPr>
          <w:rFonts w:ascii="Arial" w:eastAsia="Arial" w:hAnsi="Arial" w:cs="Arial"/>
          <w:b/>
          <w:sz w:val="23"/>
          <w:szCs w:val="23"/>
        </w:rPr>
        <w:t xml:space="preserve">en </w:t>
      </w:r>
      <w:r w:rsidR="007544C7">
        <w:rPr>
          <w:rFonts w:ascii="Arial" w:eastAsia="Arial" w:hAnsi="Arial" w:cs="Arial"/>
          <w:b/>
          <w:sz w:val="23"/>
          <w:szCs w:val="23"/>
        </w:rPr>
        <w:t>negativo</w:t>
      </w:r>
    </w:p>
    <w:p w14:paraId="29CCA718" w14:textId="7EAAFE04" w:rsidR="50589700" w:rsidRDefault="50589700" w:rsidP="50589700">
      <w:pPr>
        <w:pStyle w:val="Prrafodelista"/>
        <w:spacing w:before="120" w:line="288" w:lineRule="auto"/>
        <w:ind w:left="360"/>
        <w:jc w:val="both"/>
        <w:rPr>
          <w:rFonts w:ascii="Arial" w:eastAsia="Arial" w:hAnsi="Arial" w:cs="Arial"/>
          <w:b/>
          <w:bCs/>
          <w:sz w:val="23"/>
          <w:szCs w:val="23"/>
        </w:rPr>
      </w:pPr>
    </w:p>
    <w:p w14:paraId="3C2BEB34" w14:textId="45CF7FA4" w:rsidR="00020001" w:rsidRPr="004E249E" w:rsidRDefault="00020001" w:rsidP="00020001">
      <w:pPr>
        <w:spacing w:before="120" w:line="288" w:lineRule="auto"/>
        <w:jc w:val="center"/>
        <w:rPr>
          <w:rFonts w:ascii="Arial" w:eastAsia="Arial" w:hAnsi="Arial" w:cs="Arial"/>
          <w:b/>
          <w:sz w:val="23"/>
          <w:szCs w:val="23"/>
        </w:rPr>
      </w:pPr>
      <w:r w:rsidRPr="004E249E">
        <w:rPr>
          <w:rFonts w:ascii="Arial" w:eastAsia="Arial" w:hAnsi="Arial" w:cs="Arial"/>
          <w:bCs/>
          <w:noProof/>
          <w:sz w:val="22"/>
          <w:szCs w:val="22"/>
        </w:rPr>
        <w:drawing>
          <wp:inline distT="0" distB="0" distL="0" distR="0" wp14:anchorId="014E765F" wp14:editId="023EFF29">
            <wp:extent cx="5780405" cy="2653511"/>
            <wp:effectExtent l="0" t="0" r="0" b="0"/>
            <wp:docPr id="1189994055"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72115" name="Imagen 1" descr="Gráfico&#10;&#10;El contenido generado por IA puede ser incorrecto."/>
                    <pic:cNvPicPr/>
                  </pic:nvPicPr>
                  <pic:blipFill rotWithShape="1">
                    <a:blip r:embed="rId11"/>
                    <a:srcRect t="12336"/>
                    <a:stretch>
                      <a:fillRect/>
                    </a:stretch>
                  </pic:blipFill>
                  <pic:spPr bwMode="auto">
                    <a:xfrm>
                      <a:off x="0" y="0"/>
                      <a:ext cx="5796355" cy="2660833"/>
                    </a:xfrm>
                    <a:prstGeom prst="rect">
                      <a:avLst/>
                    </a:prstGeom>
                    <a:ln>
                      <a:noFill/>
                    </a:ln>
                    <a:extLst>
                      <a:ext uri="{53640926-AAD7-44D8-BBD7-CCE9431645EC}">
                        <a14:shadowObscured xmlns:a14="http://schemas.microsoft.com/office/drawing/2010/main"/>
                      </a:ext>
                    </a:extLst>
                  </pic:spPr>
                </pic:pic>
              </a:graphicData>
            </a:graphic>
          </wp:inline>
        </w:drawing>
      </w:r>
    </w:p>
    <w:p w14:paraId="4D82148B" w14:textId="744CF735" w:rsidR="00020001" w:rsidRDefault="00020001" w:rsidP="00020001">
      <w:pPr>
        <w:spacing w:before="120" w:line="288" w:lineRule="auto"/>
        <w:jc w:val="right"/>
        <w:rPr>
          <w:rFonts w:ascii="Arial" w:eastAsia="Arial" w:hAnsi="Arial" w:cs="Arial"/>
          <w:sz w:val="14"/>
          <w:szCs w:val="14"/>
        </w:rPr>
      </w:pPr>
      <w:r w:rsidRPr="004E249E">
        <w:rPr>
          <w:rFonts w:ascii="Arial" w:eastAsiaTheme="minorEastAsia" w:hAnsi="Arial" w:cs="Arial"/>
          <w:b/>
          <w:bCs/>
          <w:i/>
          <w:iCs/>
          <w:sz w:val="14"/>
          <w:szCs w:val="14"/>
          <w:lang w:eastAsia="zh-CN"/>
        </w:rPr>
        <w:t>Intención de contratación por sectores en España</w:t>
      </w:r>
    </w:p>
    <w:p w14:paraId="3365C053" w14:textId="77777777" w:rsidR="00020001" w:rsidRPr="00020001" w:rsidRDefault="00020001" w:rsidP="00020001">
      <w:pPr>
        <w:spacing w:before="120" w:line="288" w:lineRule="auto"/>
        <w:jc w:val="right"/>
        <w:rPr>
          <w:rFonts w:ascii="Arial" w:eastAsia="Arial" w:hAnsi="Arial" w:cs="Arial"/>
          <w:sz w:val="14"/>
          <w:szCs w:val="14"/>
        </w:rPr>
      </w:pPr>
    </w:p>
    <w:bookmarkEnd w:id="2"/>
    <w:p w14:paraId="4BBBD794" w14:textId="1CA18C71" w:rsidR="00725C3C" w:rsidRPr="00725C3C" w:rsidRDefault="00196895" w:rsidP="6D87E6CB">
      <w:pPr>
        <w:spacing w:before="120" w:line="288" w:lineRule="auto"/>
        <w:jc w:val="both"/>
        <w:rPr>
          <w:rFonts w:ascii="Arial" w:eastAsia="Arial" w:hAnsi="Arial" w:cs="Arial"/>
          <w:sz w:val="22"/>
          <w:szCs w:val="22"/>
        </w:rPr>
      </w:pPr>
      <w:r w:rsidRPr="00584891">
        <w:rPr>
          <w:rFonts w:ascii="Arial" w:eastAsia="Arial" w:hAnsi="Arial" w:cs="Arial"/>
          <w:b/>
          <w:sz w:val="22"/>
          <w:szCs w:val="22"/>
        </w:rPr>
        <w:t xml:space="preserve">Madrid, </w:t>
      </w:r>
      <w:r w:rsidR="00534234">
        <w:rPr>
          <w:rFonts w:ascii="Arial" w:eastAsia="Arial" w:hAnsi="Arial" w:cs="Arial"/>
          <w:b/>
          <w:bCs/>
          <w:sz w:val="22"/>
          <w:szCs w:val="22"/>
        </w:rPr>
        <w:t>24</w:t>
      </w:r>
      <w:r w:rsidR="00D7168F">
        <w:rPr>
          <w:rFonts w:ascii="Arial" w:eastAsia="Arial" w:hAnsi="Arial" w:cs="Arial"/>
          <w:b/>
          <w:sz w:val="22"/>
          <w:szCs w:val="22"/>
        </w:rPr>
        <w:t xml:space="preserve"> </w:t>
      </w:r>
      <w:r w:rsidRPr="00584891">
        <w:rPr>
          <w:rFonts w:ascii="Arial" w:eastAsia="Arial" w:hAnsi="Arial" w:cs="Arial"/>
          <w:b/>
          <w:sz w:val="22"/>
          <w:szCs w:val="22"/>
        </w:rPr>
        <w:t xml:space="preserve">de </w:t>
      </w:r>
      <w:r w:rsidR="00725C3C">
        <w:rPr>
          <w:rFonts w:ascii="Arial" w:eastAsia="Arial" w:hAnsi="Arial" w:cs="Arial"/>
          <w:b/>
          <w:sz w:val="22"/>
          <w:szCs w:val="22"/>
        </w:rPr>
        <w:t>septiembre</w:t>
      </w:r>
      <w:r w:rsidR="00D7168F" w:rsidRPr="00584891">
        <w:rPr>
          <w:rFonts w:ascii="Arial" w:eastAsia="Arial" w:hAnsi="Arial" w:cs="Arial"/>
          <w:b/>
          <w:sz w:val="22"/>
          <w:szCs w:val="22"/>
        </w:rPr>
        <w:t xml:space="preserve"> </w:t>
      </w:r>
      <w:r w:rsidRPr="00584891">
        <w:rPr>
          <w:rFonts w:ascii="Arial" w:eastAsia="Arial" w:hAnsi="Arial" w:cs="Arial"/>
          <w:b/>
          <w:sz w:val="22"/>
          <w:szCs w:val="22"/>
        </w:rPr>
        <w:t>de 202</w:t>
      </w:r>
      <w:r w:rsidR="00AB7073">
        <w:rPr>
          <w:rFonts w:ascii="Arial" w:eastAsia="Arial" w:hAnsi="Arial" w:cs="Arial"/>
          <w:b/>
          <w:sz w:val="22"/>
          <w:szCs w:val="22"/>
        </w:rPr>
        <w:t>5</w:t>
      </w:r>
      <w:r w:rsidRPr="00584891">
        <w:rPr>
          <w:rFonts w:ascii="Arial" w:eastAsia="Arial" w:hAnsi="Arial" w:cs="Arial"/>
          <w:b/>
          <w:sz w:val="22"/>
          <w:szCs w:val="22"/>
        </w:rPr>
        <w:t>.-</w:t>
      </w:r>
      <w:bookmarkStart w:id="3" w:name="_Hlk113557102"/>
      <w:r w:rsidRPr="00584891">
        <w:rPr>
          <w:rFonts w:ascii="Arial" w:eastAsia="Arial" w:hAnsi="Arial" w:cs="Arial"/>
          <w:b/>
          <w:sz w:val="22"/>
          <w:szCs w:val="22"/>
        </w:rPr>
        <w:t xml:space="preserve"> </w:t>
      </w:r>
      <w:bookmarkEnd w:id="3"/>
      <w:r w:rsidR="00725C3C" w:rsidRPr="00725C3C">
        <w:rPr>
          <w:rFonts w:ascii="Arial" w:eastAsia="Arial" w:hAnsi="Arial" w:cs="Arial"/>
          <w:bCs/>
          <w:sz w:val="22"/>
          <w:szCs w:val="22"/>
        </w:rPr>
        <w:t xml:space="preserve">El </w:t>
      </w:r>
      <w:r w:rsidR="00725C3C" w:rsidRPr="00725C3C">
        <w:rPr>
          <w:rFonts w:ascii="Arial" w:eastAsia="Arial" w:hAnsi="Arial" w:cs="Arial"/>
          <w:b/>
          <w:sz w:val="22"/>
          <w:szCs w:val="22"/>
        </w:rPr>
        <w:t>sector Financiero e inmobiliario</w:t>
      </w:r>
      <w:r w:rsidR="00725C3C" w:rsidRPr="00725C3C">
        <w:rPr>
          <w:rFonts w:ascii="Arial" w:eastAsia="Arial" w:hAnsi="Arial" w:cs="Arial"/>
          <w:bCs/>
          <w:sz w:val="22"/>
          <w:szCs w:val="22"/>
        </w:rPr>
        <w:t xml:space="preserve"> encara la recta final del año con un renovado dinamismo en el mercado laboral. De acuerdo con el </w:t>
      </w:r>
      <w:r w:rsidR="00725C3C" w:rsidRPr="00725C3C">
        <w:rPr>
          <w:rFonts w:ascii="Arial" w:eastAsia="Arial" w:hAnsi="Arial" w:cs="Arial"/>
          <w:b/>
          <w:sz w:val="22"/>
          <w:szCs w:val="22"/>
        </w:rPr>
        <w:t>Estudio de Proyección de Empleo de ManpowerGroup,</w:t>
      </w:r>
      <w:r w:rsidR="00725C3C" w:rsidRPr="00725C3C">
        <w:rPr>
          <w:rFonts w:ascii="Arial" w:eastAsia="Arial" w:hAnsi="Arial" w:cs="Arial"/>
          <w:bCs/>
          <w:sz w:val="22"/>
          <w:szCs w:val="22"/>
        </w:rPr>
        <w:t xml:space="preserve"> las compañías del sector registran </w:t>
      </w:r>
      <w:r w:rsidR="00725C3C" w:rsidRPr="00725C3C">
        <w:rPr>
          <w:rFonts w:ascii="Arial" w:eastAsia="Arial" w:hAnsi="Arial" w:cs="Arial"/>
          <w:b/>
          <w:sz w:val="22"/>
          <w:szCs w:val="22"/>
        </w:rPr>
        <w:t>una de las subidas más destacadas</w:t>
      </w:r>
      <w:r w:rsidR="00725C3C" w:rsidRPr="00725C3C">
        <w:rPr>
          <w:rFonts w:ascii="Arial" w:eastAsia="Arial" w:hAnsi="Arial" w:cs="Arial"/>
          <w:bCs/>
          <w:sz w:val="22"/>
          <w:szCs w:val="22"/>
        </w:rPr>
        <w:t xml:space="preserve"> de todo el tejido productivo</w:t>
      </w:r>
      <w:r w:rsidR="00725C3C">
        <w:rPr>
          <w:rFonts w:ascii="Arial" w:eastAsia="Arial" w:hAnsi="Arial" w:cs="Arial"/>
          <w:bCs/>
          <w:sz w:val="22"/>
          <w:szCs w:val="22"/>
        </w:rPr>
        <w:t>. S</w:t>
      </w:r>
      <w:r w:rsidR="00725C3C" w:rsidRPr="00725C3C">
        <w:rPr>
          <w:rFonts w:ascii="Arial" w:eastAsia="Arial" w:hAnsi="Arial" w:cs="Arial"/>
          <w:bCs/>
          <w:sz w:val="22"/>
          <w:szCs w:val="22"/>
        </w:rPr>
        <w:t>us expectativas de contratación escalan del 9% en el tercer trimestre al 19% en el cuarto, lo que supone un salto de 10 puntos porcentuales y un desempeño que se coloca por encima de la media nacional (17%).</w:t>
      </w:r>
    </w:p>
    <w:p w14:paraId="30B23DA4" w14:textId="37D3E1BD" w:rsidR="00725C3C" w:rsidRPr="00725C3C" w:rsidRDefault="00725C3C" w:rsidP="00725C3C">
      <w:pPr>
        <w:spacing w:before="120" w:line="288" w:lineRule="auto"/>
        <w:jc w:val="both"/>
        <w:rPr>
          <w:rFonts w:ascii="Arial" w:eastAsia="Arial" w:hAnsi="Arial" w:cs="Arial"/>
          <w:bCs/>
          <w:sz w:val="22"/>
          <w:szCs w:val="22"/>
        </w:rPr>
      </w:pPr>
      <w:r w:rsidRPr="00725C3C">
        <w:rPr>
          <w:rFonts w:ascii="Arial" w:eastAsia="Arial" w:hAnsi="Arial" w:cs="Arial"/>
          <w:bCs/>
          <w:sz w:val="22"/>
          <w:szCs w:val="22"/>
        </w:rPr>
        <w:t>El análisis de las compañías refleja un escenario de confianza</w:t>
      </w:r>
      <w:r>
        <w:rPr>
          <w:rFonts w:ascii="Arial" w:eastAsia="Arial" w:hAnsi="Arial" w:cs="Arial"/>
          <w:bCs/>
          <w:sz w:val="22"/>
          <w:szCs w:val="22"/>
        </w:rPr>
        <w:t>. E</w:t>
      </w:r>
      <w:r w:rsidRPr="00725C3C">
        <w:rPr>
          <w:rFonts w:ascii="Arial" w:eastAsia="Arial" w:hAnsi="Arial" w:cs="Arial"/>
          <w:bCs/>
          <w:sz w:val="22"/>
          <w:szCs w:val="22"/>
        </w:rPr>
        <w:t xml:space="preserve">l 40% prevé aumentar sus plantillas entre octubre y diciembre, el 38% las mantendrá estables y únicamente el 20% </w:t>
      </w:r>
      <w:r w:rsidRPr="00725C3C">
        <w:rPr>
          <w:rFonts w:ascii="Arial" w:eastAsia="Arial" w:hAnsi="Arial" w:cs="Arial"/>
          <w:bCs/>
          <w:sz w:val="22"/>
          <w:szCs w:val="22"/>
        </w:rPr>
        <w:lastRenderedPageBreak/>
        <w:t>anticipa reducciones. Esta distribución refuerza la lectura de que el sector se encuentra en una fase de recuperación sostenida tras varios trimestres de cierta contención.</w:t>
      </w:r>
    </w:p>
    <w:p w14:paraId="40F393B8" w14:textId="23430451" w:rsidR="00725C3C" w:rsidRDefault="00725C3C" w:rsidP="00725C3C">
      <w:pPr>
        <w:spacing w:before="120" w:line="288" w:lineRule="auto"/>
        <w:jc w:val="both"/>
        <w:rPr>
          <w:rFonts w:ascii="Arial" w:eastAsia="Arial" w:hAnsi="Arial" w:cs="Arial"/>
          <w:bCs/>
          <w:i/>
          <w:iCs/>
          <w:sz w:val="22"/>
          <w:szCs w:val="22"/>
        </w:rPr>
      </w:pPr>
      <w:r w:rsidRPr="00725C3C">
        <w:rPr>
          <w:rFonts w:ascii="Arial" w:eastAsia="Arial" w:hAnsi="Arial" w:cs="Arial"/>
          <w:b/>
          <w:bCs/>
          <w:sz w:val="22"/>
          <w:szCs w:val="22"/>
        </w:rPr>
        <w:t>Begoña Fernández-Lledó, directora corporativa de Banca y Seguros de</w:t>
      </w:r>
      <w:r>
        <w:rPr>
          <w:rFonts w:ascii="Arial" w:eastAsia="Arial" w:hAnsi="Arial" w:cs="Arial"/>
          <w:b/>
          <w:bCs/>
          <w:sz w:val="22"/>
          <w:szCs w:val="22"/>
        </w:rPr>
        <w:t xml:space="preserve"> </w:t>
      </w:r>
      <w:r w:rsidRPr="00725C3C">
        <w:rPr>
          <w:rFonts w:ascii="Arial" w:eastAsia="Arial" w:hAnsi="Arial" w:cs="Arial"/>
          <w:b/>
          <w:bCs/>
          <w:sz w:val="22"/>
          <w:szCs w:val="22"/>
        </w:rPr>
        <w:t>ManpowerGroup, comenta:</w:t>
      </w:r>
      <w:r>
        <w:rPr>
          <w:rFonts w:ascii="Arial" w:eastAsia="Arial" w:hAnsi="Arial" w:cs="Arial"/>
          <w:bCs/>
          <w:sz w:val="22"/>
          <w:szCs w:val="22"/>
        </w:rPr>
        <w:t xml:space="preserve"> </w:t>
      </w:r>
      <w:r w:rsidRPr="00725C3C">
        <w:rPr>
          <w:rFonts w:ascii="Arial" w:eastAsia="Arial" w:hAnsi="Arial" w:cs="Arial"/>
          <w:bCs/>
          <w:i/>
          <w:iCs/>
          <w:sz w:val="22"/>
          <w:szCs w:val="22"/>
        </w:rPr>
        <w:t>“Las previsiones del sector financiero e inmobiliario reflejan una recuperación sostenida tras varios trimestres de moderación. La solidez de las entidades y el dinamismo en la actividad inmobiliaria están impulsando la necesidad de incorporar perfiles especializados, tanto en gestión financiera como en áreas vinculadas a la digitalización y la atención al cliente. Este repunte pone de manifiesto la capacidad del sector para adaptarse a un entorno cambiante y seguir siendo motor de generación de empleo.”</w:t>
      </w:r>
    </w:p>
    <w:p w14:paraId="2FFFBBC8" w14:textId="1120F99E" w:rsidR="000A4D20" w:rsidRDefault="00480E67" w:rsidP="00725C3C">
      <w:pPr>
        <w:spacing w:before="120" w:line="288" w:lineRule="auto"/>
        <w:jc w:val="both"/>
        <w:rPr>
          <w:rFonts w:ascii="Arial" w:eastAsia="Arial" w:hAnsi="Arial" w:cs="Arial"/>
          <w:bCs/>
          <w:sz w:val="22"/>
          <w:szCs w:val="22"/>
        </w:rPr>
      </w:pPr>
      <w:r>
        <w:rPr>
          <w:rFonts w:ascii="Arial" w:eastAsia="Arial" w:hAnsi="Arial" w:cs="Arial"/>
          <w:bCs/>
          <w:sz w:val="22"/>
          <w:szCs w:val="22"/>
        </w:rPr>
        <w:br/>
      </w:r>
      <w:r w:rsidR="000A4D20" w:rsidRPr="000A4D20">
        <w:rPr>
          <w:rFonts w:ascii="Arial" w:eastAsia="Arial" w:hAnsi="Arial" w:cs="Arial"/>
          <w:bCs/>
          <w:noProof/>
          <w:sz w:val="22"/>
          <w:szCs w:val="22"/>
        </w:rPr>
        <w:drawing>
          <wp:inline distT="0" distB="0" distL="0" distR="0" wp14:anchorId="5E55E5D2" wp14:editId="00C0FA9F">
            <wp:extent cx="5760085" cy="1965325"/>
            <wp:effectExtent l="0" t="0" r="0" b="0"/>
            <wp:docPr id="6450426"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426" name="Imagen 1" descr="Interfaz de usuario gráfica&#10;&#10;El contenido generado por IA puede ser incorrecto."/>
                    <pic:cNvPicPr/>
                  </pic:nvPicPr>
                  <pic:blipFill>
                    <a:blip r:embed="rId12"/>
                    <a:stretch>
                      <a:fillRect/>
                    </a:stretch>
                  </pic:blipFill>
                  <pic:spPr>
                    <a:xfrm>
                      <a:off x="0" y="0"/>
                      <a:ext cx="5760085" cy="1965325"/>
                    </a:xfrm>
                    <a:prstGeom prst="rect">
                      <a:avLst/>
                    </a:prstGeom>
                  </pic:spPr>
                </pic:pic>
              </a:graphicData>
            </a:graphic>
          </wp:inline>
        </w:drawing>
      </w:r>
    </w:p>
    <w:p w14:paraId="0E3D03F1" w14:textId="37479706" w:rsidR="00480E67" w:rsidRPr="00480E67" w:rsidRDefault="00480E67" w:rsidP="00480E67">
      <w:pPr>
        <w:spacing w:before="120" w:line="288" w:lineRule="auto"/>
        <w:jc w:val="right"/>
        <w:rPr>
          <w:rFonts w:ascii="Arial" w:eastAsiaTheme="minorEastAsia" w:hAnsi="Arial" w:cs="Arial"/>
          <w:b/>
          <w:bCs/>
          <w:i/>
          <w:iCs/>
          <w:sz w:val="14"/>
          <w:szCs w:val="14"/>
          <w:lang w:eastAsia="zh-CN"/>
        </w:rPr>
      </w:pPr>
      <w:r w:rsidRPr="00480E67">
        <w:rPr>
          <w:rFonts w:ascii="Arial" w:eastAsiaTheme="minorEastAsia" w:hAnsi="Arial" w:cs="Arial"/>
          <w:b/>
          <w:bCs/>
          <w:i/>
          <w:iCs/>
          <w:sz w:val="14"/>
          <w:szCs w:val="14"/>
          <w:lang w:eastAsia="zh-CN"/>
        </w:rPr>
        <w:t>Evolución del sector en el último año </w:t>
      </w:r>
    </w:p>
    <w:p w14:paraId="33768BFA" w14:textId="77777777" w:rsidR="00480E67" w:rsidRDefault="00480E67" w:rsidP="00725C3C">
      <w:pPr>
        <w:spacing w:before="120" w:line="288" w:lineRule="auto"/>
        <w:jc w:val="both"/>
        <w:rPr>
          <w:rFonts w:ascii="Arial" w:eastAsia="Arial" w:hAnsi="Arial" w:cs="Arial"/>
          <w:bCs/>
          <w:sz w:val="22"/>
          <w:szCs w:val="22"/>
        </w:rPr>
      </w:pPr>
    </w:p>
    <w:p w14:paraId="5B76DD33" w14:textId="43872A82" w:rsidR="00725C3C" w:rsidRPr="00725C3C" w:rsidRDefault="00725C3C" w:rsidP="00725C3C">
      <w:pPr>
        <w:spacing w:before="120" w:line="288" w:lineRule="auto"/>
        <w:jc w:val="both"/>
        <w:rPr>
          <w:rFonts w:ascii="Arial" w:eastAsia="Arial" w:hAnsi="Arial" w:cs="Arial"/>
          <w:bCs/>
          <w:sz w:val="22"/>
          <w:szCs w:val="22"/>
        </w:rPr>
      </w:pPr>
      <w:r w:rsidRPr="00725C3C">
        <w:rPr>
          <w:rFonts w:ascii="Arial" w:eastAsia="Arial" w:hAnsi="Arial" w:cs="Arial"/>
          <w:bCs/>
          <w:sz w:val="22"/>
          <w:szCs w:val="22"/>
        </w:rPr>
        <w:t xml:space="preserve">El resto del tejido empresarial ofrece un panorama diverso. </w:t>
      </w:r>
      <w:r w:rsidRPr="3DD1DE98">
        <w:rPr>
          <w:rFonts w:ascii="Arial" w:eastAsia="Arial" w:hAnsi="Arial" w:cs="Arial"/>
          <w:b/>
          <w:sz w:val="22"/>
          <w:szCs w:val="22"/>
        </w:rPr>
        <w:t>Tecnología</w:t>
      </w:r>
      <w:r w:rsidRPr="00725C3C">
        <w:rPr>
          <w:rFonts w:ascii="Arial" w:eastAsia="Arial" w:hAnsi="Arial" w:cs="Arial"/>
          <w:bCs/>
          <w:sz w:val="22"/>
          <w:szCs w:val="22"/>
        </w:rPr>
        <w:t xml:space="preserve"> lidera el ranking con un 31% de expectativas, reafirmando su rol como palanca del crecimiento económico. Le sigue </w:t>
      </w:r>
      <w:r w:rsidRPr="3DD1DE98">
        <w:rPr>
          <w:rFonts w:ascii="Arial" w:eastAsia="Arial" w:hAnsi="Arial" w:cs="Arial"/>
          <w:b/>
          <w:sz w:val="22"/>
          <w:szCs w:val="22"/>
        </w:rPr>
        <w:t>Transporte, logística y automoción</w:t>
      </w:r>
      <w:r w:rsidRPr="00725C3C">
        <w:rPr>
          <w:rFonts w:ascii="Arial" w:eastAsia="Arial" w:hAnsi="Arial" w:cs="Arial"/>
          <w:bCs/>
          <w:sz w:val="22"/>
          <w:szCs w:val="22"/>
        </w:rPr>
        <w:t xml:space="preserve">, con un 25%, y </w:t>
      </w:r>
      <w:r w:rsidRPr="3DD1DE98">
        <w:rPr>
          <w:rFonts w:ascii="Arial" w:eastAsia="Arial" w:hAnsi="Arial" w:cs="Arial"/>
          <w:b/>
          <w:sz w:val="22"/>
          <w:szCs w:val="22"/>
        </w:rPr>
        <w:t>Publicidad y comunicación</w:t>
      </w:r>
      <w:r w:rsidRPr="00725C3C">
        <w:rPr>
          <w:rFonts w:ascii="Arial" w:eastAsia="Arial" w:hAnsi="Arial" w:cs="Arial"/>
          <w:bCs/>
          <w:sz w:val="22"/>
          <w:szCs w:val="22"/>
        </w:rPr>
        <w:t xml:space="preserve">, que tras un incremento de 13 puntos alcanza el 23%. En empate con el sector Financiero e inmobiliario se encuentra </w:t>
      </w:r>
      <w:r w:rsidRPr="3DD1DE98">
        <w:rPr>
          <w:rFonts w:ascii="Arial" w:eastAsia="Arial" w:hAnsi="Arial" w:cs="Arial"/>
          <w:b/>
          <w:sz w:val="22"/>
          <w:szCs w:val="22"/>
        </w:rPr>
        <w:t>Salud y farmacia</w:t>
      </w:r>
      <w:r w:rsidRPr="00725C3C">
        <w:rPr>
          <w:rFonts w:ascii="Arial" w:eastAsia="Arial" w:hAnsi="Arial" w:cs="Arial"/>
          <w:bCs/>
          <w:sz w:val="22"/>
          <w:szCs w:val="22"/>
        </w:rPr>
        <w:t xml:space="preserve"> (19%), que mantiene cifras estables respecto al trimestre anterior.</w:t>
      </w:r>
    </w:p>
    <w:p w14:paraId="6FE87C63" w14:textId="17933508" w:rsidR="00725C3C" w:rsidRPr="00725C3C" w:rsidRDefault="00725C3C" w:rsidP="00725C3C">
      <w:pPr>
        <w:spacing w:before="120" w:line="288" w:lineRule="auto"/>
        <w:jc w:val="both"/>
        <w:rPr>
          <w:rFonts w:ascii="Arial" w:eastAsia="Arial" w:hAnsi="Arial" w:cs="Arial"/>
          <w:bCs/>
          <w:sz w:val="22"/>
          <w:szCs w:val="22"/>
        </w:rPr>
      </w:pPr>
      <w:r w:rsidRPr="00725C3C">
        <w:rPr>
          <w:rFonts w:ascii="Arial" w:eastAsia="Arial" w:hAnsi="Arial" w:cs="Arial"/>
          <w:bCs/>
          <w:sz w:val="22"/>
          <w:szCs w:val="22"/>
        </w:rPr>
        <w:t xml:space="preserve">En el extremo contrario, los sectores más debilitados son Energía y suministros, con un 3% en negativo —pese a mejorar 12 puntos respecto al trimestre anterior—, e Industria, que con un 9% encadena caídas tanto frente al trimestre anterior </w:t>
      </w:r>
      <w:r w:rsidR="45C2A830" w:rsidRPr="3DD1DE98">
        <w:rPr>
          <w:rFonts w:ascii="Arial" w:eastAsia="Arial" w:hAnsi="Arial" w:cs="Arial"/>
          <w:sz w:val="22"/>
          <w:szCs w:val="22"/>
        </w:rPr>
        <w:t>(18%)</w:t>
      </w:r>
      <w:r w:rsidRPr="3DD1DE98">
        <w:rPr>
          <w:rFonts w:ascii="Arial" w:eastAsia="Arial" w:hAnsi="Arial" w:cs="Arial"/>
          <w:sz w:val="22"/>
          <w:szCs w:val="22"/>
        </w:rPr>
        <w:t xml:space="preserve"> </w:t>
      </w:r>
      <w:r w:rsidRPr="00725C3C">
        <w:rPr>
          <w:rFonts w:ascii="Arial" w:eastAsia="Arial" w:hAnsi="Arial" w:cs="Arial"/>
          <w:bCs/>
          <w:sz w:val="22"/>
          <w:szCs w:val="22"/>
        </w:rPr>
        <w:t>como al mismo periodo de 2024</w:t>
      </w:r>
      <w:r w:rsidR="40AB7CD7" w:rsidRPr="3DD1DE98">
        <w:rPr>
          <w:rFonts w:ascii="Arial" w:eastAsia="Arial" w:hAnsi="Arial" w:cs="Arial"/>
          <w:sz w:val="22"/>
          <w:szCs w:val="22"/>
        </w:rPr>
        <w:t xml:space="preserve"> (22%)</w:t>
      </w:r>
      <w:r w:rsidRPr="3DD1DE98">
        <w:rPr>
          <w:rFonts w:ascii="Arial" w:eastAsia="Arial" w:hAnsi="Arial" w:cs="Arial"/>
          <w:sz w:val="22"/>
          <w:szCs w:val="22"/>
        </w:rPr>
        <w:t>.</w:t>
      </w:r>
    </w:p>
    <w:p w14:paraId="44F8DFC5" w14:textId="77777777" w:rsidR="00725C3C" w:rsidRPr="00725C3C" w:rsidRDefault="00725C3C" w:rsidP="00725C3C">
      <w:pPr>
        <w:spacing w:before="120" w:line="288" w:lineRule="auto"/>
        <w:jc w:val="both"/>
        <w:rPr>
          <w:rFonts w:ascii="Arial" w:eastAsia="Arial" w:hAnsi="Arial" w:cs="Arial"/>
          <w:b/>
          <w:bCs/>
          <w:sz w:val="22"/>
          <w:szCs w:val="22"/>
        </w:rPr>
      </w:pPr>
      <w:r w:rsidRPr="00725C3C">
        <w:rPr>
          <w:rFonts w:ascii="Arial" w:eastAsia="Arial" w:hAnsi="Arial" w:cs="Arial"/>
          <w:b/>
          <w:bCs/>
          <w:sz w:val="22"/>
          <w:szCs w:val="22"/>
        </w:rPr>
        <w:t>Sector Financiero e inmobiliario en segundo puesto a nivel global</w:t>
      </w:r>
    </w:p>
    <w:p w14:paraId="1AAD6182" w14:textId="77777777" w:rsidR="00725C3C" w:rsidRPr="00725C3C" w:rsidRDefault="00725C3C" w:rsidP="00725C3C">
      <w:pPr>
        <w:spacing w:before="120" w:line="288" w:lineRule="auto"/>
        <w:jc w:val="both"/>
        <w:rPr>
          <w:rFonts w:ascii="Arial" w:eastAsia="Arial" w:hAnsi="Arial" w:cs="Arial"/>
          <w:bCs/>
          <w:sz w:val="22"/>
          <w:szCs w:val="22"/>
        </w:rPr>
      </w:pPr>
      <w:r w:rsidRPr="00725C3C">
        <w:rPr>
          <w:rFonts w:ascii="Arial" w:eastAsia="Arial" w:hAnsi="Arial" w:cs="Arial"/>
          <w:bCs/>
          <w:sz w:val="22"/>
          <w:szCs w:val="22"/>
        </w:rPr>
        <w:t>El análisis internacional refuerza la lectura positiva para el sector Financiero e inmobiliario. A nivel global, se posiciona como la segunda actividad con mayores previsiones de contratación, con un 29%, solo 7 puntos por debajo de Tecnología. Además, se mantiene estable frente al trimestre anterior y 6 puntos por encima de la media global, lo que evidencia su fortaleza estructural en mercados muy distintos.</w:t>
      </w:r>
    </w:p>
    <w:p w14:paraId="08828302" w14:textId="27C7CF45" w:rsidR="00725C3C" w:rsidRPr="00725C3C" w:rsidRDefault="00725C3C" w:rsidP="00725C3C">
      <w:pPr>
        <w:spacing w:before="120" w:line="288" w:lineRule="auto"/>
        <w:jc w:val="both"/>
        <w:rPr>
          <w:rFonts w:ascii="Arial" w:eastAsia="Arial" w:hAnsi="Arial" w:cs="Arial"/>
          <w:bCs/>
          <w:sz w:val="22"/>
          <w:szCs w:val="22"/>
        </w:rPr>
      </w:pPr>
      <w:r w:rsidRPr="00725C3C">
        <w:rPr>
          <w:rFonts w:ascii="Arial" w:eastAsia="Arial" w:hAnsi="Arial" w:cs="Arial"/>
          <w:bCs/>
          <w:sz w:val="22"/>
          <w:szCs w:val="22"/>
        </w:rPr>
        <w:lastRenderedPageBreak/>
        <w:t xml:space="preserve">Este comportamiento se explica por varios factores: la estabilidad del sistema financiero en un contexto de tipos de interés en fase de ajuste, el dinamismo del mercado inmobiliario impulsado por la inversión internacional y la necesidad de modernización digital que atraviesan tanto bancos como aseguradoras. En conjunto, </w:t>
      </w:r>
      <w:r>
        <w:rPr>
          <w:rFonts w:ascii="Arial" w:eastAsia="Arial" w:hAnsi="Arial" w:cs="Arial"/>
          <w:bCs/>
          <w:sz w:val="22"/>
          <w:szCs w:val="22"/>
        </w:rPr>
        <w:t>todo ello consolida</w:t>
      </w:r>
      <w:r w:rsidRPr="00725C3C">
        <w:rPr>
          <w:rFonts w:ascii="Arial" w:eastAsia="Arial" w:hAnsi="Arial" w:cs="Arial"/>
          <w:bCs/>
          <w:sz w:val="22"/>
          <w:szCs w:val="22"/>
        </w:rPr>
        <w:t xml:space="preserve"> al sector como un polo de atracción de talento y como un actor clave en la recuperación y transformación de la economía.</w:t>
      </w:r>
    </w:p>
    <w:p w14:paraId="11E8A1D8" w14:textId="77777777" w:rsidR="00725C3C" w:rsidRPr="00725C3C" w:rsidRDefault="50554881" w:rsidP="00725C3C">
      <w:pPr>
        <w:spacing w:before="120" w:line="288" w:lineRule="auto"/>
        <w:jc w:val="both"/>
        <w:rPr>
          <w:rFonts w:ascii="Arial" w:eastAsia="Arial" w:hAnsi="Arial" w:cs="Arial"/>
          <w:bCs/>
          <w:sz w:val="22"/>
          <w:szCs w:val="22"/>
        </w:rPr>
      </w:pPr>
      <w:r w:rsidRPr="37037577">
        <w:rPr>
          <w:rFonts w:ascii="Arial" w:eastAsia="Arial" w:hAnsi="Arial" w:cs="Arial"/>
          <w:sz w:val="22"/>
          <w:szCs w:val="22"/>
        </w:rPr>
        <w:t>La proyección de empleo para el cierre de 2025 confirma, por tanto, que el sector financiero e inmobiliario no solo ha resistido la volatilidad de los últimos años, sino que se ha reposicionado como una de las actividades con mayor capacidad de generación de empleo, combinando estabilidad, digitalización y nuevas oportunidades para el talento especializado.</w:t>
      </w:r>
    </w:p>
    <w:p w14:paraId="06142283" w14:textId="085B0EE2" w:rsidR="00020001" w:rsidRPr="003340E7" w:rsidRDefault="00020001" w:rsidP="00020001">
      <w:pPr>
        <w:spacing w:before="120" w:line="288" w:lineRule="auto"/>
        <w:jc w:val="both"/>
        <w:rPr>
          <w:rFonts w:ascii="Arial" w:eastAsia="Arial" w:hAnsi="Arial" w:cs="Arial"/>
          <w:b/>
          <w:bCs/>
          <w:sz w:val="20"/>
          <w:szCs w:val="20"/>
          <w:u w:val="single"/>
        </w:rPr>
      </w:pPr>
      <w:r>
        <w:br/>
      </w:r>
      <w:r w:rsidR="33A4F1E9" w:rsidRPr="37037577">
        <w:rPr>
          <w:rFonts w:ascii="Arial" w:eastAsia="Arial" w:hAnsi="Arial" w:cs="Arial"/>
          <w:b/>
          <w:bCs/>
          <w:sz w:val="20"/>
          <w:szCs w:val="20"/>
          <w:u w:val="single"/>
        </w:rPr>
        <w:t>Sobre el Estudio</w:t>
      </w:r>
    </w:p>
    <w:p w14:paraId="4D7CC1F2" w14:textId="77777777" w:rsidR="00020001" w:rsidRPr="00E1195B" w:rsidRDefault="00020001" w:rsidP="00020001">
      <w:pPr>
        <w:spacing w:before="120" w:line="288" w:lineRule="auto"/>
        <w:jc w:val="both"/>
        <w:rPr>
          <w:rFonts w:ascii="Arial" w:eastAsiaTheme="minorEastAsia" w:hAnsi="Arial" w:cs="Arial"/>
          <w:color w:val="808080" w:themeColor="background1" w:themeShade="80"/>
          <w:kern w:val="24"/>
          <w:sz w:val="30"/>
          <w:szCs w:val="30"/>
        </w:rPr>
      </w:pPr>
      <w:r w:rsidRPr="00E1195B">
        <w:rPr>
          <w:rFonts w:ascii="Arial" w:hAnsi="Arial" w:cs="Arial"/>
          <w:b/>
          <w:bCs/>
          <w:color w:val="808080" w:themeColor="background1" w:themeShade="80"/>
          <w:sz w:val="20"/>
          <w:szCs w:val="20"/>
        </w:rPr>
        <w:t xml:space="preserve">Sobre el Estudio de Proyección de Empleo de ManpowerGroup: </w:t>
      </w:r>
      <w:r w:rsidRPr="00E1195B">
        <w:rPr>
          <w:rFonts w:ascii="Arial" w:hAnsi="Arial" w:cs="Arial"/>
          <w:color w:val="808080" w:themeColor="background1" w:themeShade="80"/>
          <w:sz w:val="20"/>
          <w:szCs w:val="20"/>
        </w:rPr>
        <w:t xml:space="preserve">este estudio se basa en entrevistas realizadas a </w:t>
      </w:r>
      <w:r>
        <w:rPr>
          <w:rFonts w:ascii="Arial" w:hAnsi="Arial" w:cs="Arial"/>
          <w:b/>
          <w:bCs/>
          <w:color w:val="808080" w:themeColor="background1" w:themeShade="80"/>
          <w:sz w:val="20"/>
          <w:szCs w:val="20"/>
        </w:rPr>
        <w:t>40.533</w:t>
      </w:r>
      <w:r w:rsidRPr="00E1195B">
        <w:rPr>
          <w:rFonts w:ascii="Arial" w:hAnsi="Arial" w:cs="Arial"/>
          <w:b/>
          <w:bCs/>
          <w:color w:val="808080" w:themeColor="background1" w:themeShade="80"/>
          <w:sz w:val="20"/>
          <w:szCs w:val="20"/>
        </w:rPr>
        <w:t xml:space="preserve"> empresas de todo el mundo</w:t>
      </w:r>
      <w:r>
        <w:rPr>
          <w:rFonts w:ascii="Arial" w:hAnsi="Arial" w:cs="Arial"/>
          <w:b/>
          <w:bCs/>
          <w:color w:val="808080" w:themeColor="background1" w:themeShade="80"/>
          <w:sz w:val="20"/>
          <w:szCs w:val="20"/>
        </w:rPr>
        <w:t xml:space="preserve">, </w:t>
      </w:r>
      <w:r w:rsidRPr="00E1195B">
        <w:rPr>
          <w:rFonts w:ascii="Arial" w:hAnsi="Arial" w:cs="Arial"/>
          <w:color w:val="808080" w:themeColor="background1" w:themeShade="80"/>
          <w:sz w:val="20"/>
          <w:szCs w:val="20"/>
        </w:rPr>
        <w:t>tanto del sector público como del privado, de 4</w:t>
      </w:r>
      <w:r>
        <w:rPr>
          <w:rFonts w:ascii="Arial" w:hAnsi="Arial" w:cs="Arial"/>
          <w:color w:val="808080" w:themeColor="background1" w:themeShade="80"/>
          <w:sz w:val="20"/>
          <w:szCs w:val="20"/>
        </w:rPr>
        <w:t>2</w:t>
      </w:r>
      <w:r w:rsidRPr="00E1195B">
        <w:rPr>
          <w:rFonts w:ascii="Arial" w:hAnsi="Arial" w:cs="Arial"/>
          <w:color w:val="808080" w:themeColor="background1" w:themeShade="80"/>
          <w:sz w:val="20"/>
          <w:szCs w:val="20"/>
        </w:rPr>
        <w:t xml:space="preserve"> países y territorios, y su objetivo es medir las tendencias de empleo previstas para cada trimestre. Esta muestra permite realizar un análisis por sectores y regiones -ya que están estandarizados en todos los mercados- y así ofrecer una información más detallada.</w:t>
      </w:r>
      <w:r w:rsidRPr="00E1195B">
        <w:rPr>
          <w:rFonts w:ascii="Arial" w:eastAsiaTheme="minorEastAsia" w:hAnsi="Arial" w:cs="Arial"/>
          <w:color w:val="808080" w:themeColor="background1" w:themeShade="80"/>
          <w:kern w:val="24"/>
          <w:sz w:val="30"/>
          <w:szCs w:val="30"/>
        </w:rPr>
        <w:t xml:space="preserve"> </w:t>
      </w:r>
    </w:p>
    <w:p w14:paraId="46295042" w14:textId="77777777" w:rsidR="00020001" w:rsidRPr="00E1195B" w:rsidRDefault="00020001" w:rsidP="00020001">
      <w:pPr>
        <w:spacing w:before="120" w:line="288" w:lineRule="auto"/>
        <w:jc w:val="both"/>
        <w:rPr>
          <w:rFonts w:ascii="Arial" w:hAnsi="Arial" w:cs="Arial"/>
          <w:color w:val="808080" w:themeColor="background1" w:themeShade="80"/>
          <w:sz w:val="20"/>
          <w:szCs w:val="20"/>
        </w:rPr>
      </w:pPr>
      <w:r w:rsidRPr="00E1195B">
        <w:rPr>
          <w:rFonts w:ascii="Arial" w:hAnsi="Arial" w:cs="Arial"/>
          <w:color w:val="808080" w:themeColor="background1" w:themeShade="80"/>
          <w:sz w:val="20"/>
          <w:szCs w:val="20"/>
        </w:rPr>
        <w:t xml:space="preserve">El estudio obtiene su información a partir de una única pregunta: </w:t>
      </w:r>
      <w:r w:rsidRPr="00E1195B">
        <w:rPr>
          <w:rFonts w:ascii="Arial" w:hAnsi="Arial" w:cs="Arial"/>
          <w:b/>
          <w:bCs/>
          <w:color w:val="808080" w:themeColor="background1" w:themeShade="80"/>
          <w:sz w:val="20"/>
          <w:szCs w:val="20"/>
        </w:rPr>
        <w:t xml:space="preserve">“¿Cómo prevé usted que cambiará el empleo total en su empresa en el próximo trimestre, desde </w:t>
      </w:r>
      <w:r>
        <w:rPr>
          <w:rFonts w:ascii="Arial" w:hAnsi="Arial" w:cs="Arial"/>
          <w:b/>
          <w:bCs/>
          <w:color w:val="808080" w:themeColor="background1" w:themeShade="80"/>
          <w:sz w:val="20"/>
          <w:szCs w:val="20"/>
        </w:rPr>
        <w:t xml:space="preserve">octubre a diciembre </w:t>
      </w:r>
      <w:r w:rsidRPr="00E1195B">
        <w:rPr>
          <w:rFonts w:ascii="Arial" w:hAnsi="Arial" w:cs="Arial"/>
          <w:b/>
          <w:bCs/>
          <w:color w:val="808080" w:themeColor="background1" w:themeShade="80"/>
          <w:sz w:val="20"/>
          <w:szCs w:val="20"/>
        </w:rPr>
        <w:t>de 2025, en comparación con el trimestre actual?”</w:t>
      </w:r>
      <w:r w:rsidRPr="00E1195B">
        <w:rPr>
          <w:rFonts w:ascii="Arial" w:hAnsi="Arial" w:cs="Arial"/>
          <w:color w:val="808080" w:themeColor="background1" w:themeShade="80"/>
          <w:sz w:val="20"/>
          <w:szCs w:val="20"/>
        </w:rPr>
        <w:t xml:space="preserve">. Como resultado de comparar las compañías que tienen previsto ampliar sus equipos y las que anticipan una reducción </w:t>
      </w:r>
      <w:r w:rsidRPr="00E1195B">
        <w:rPr>
          <w:rFonts w:ascii="Arial" w:hAnsi="Arial" w:cs="Arial"/>
          <w:b/>
          <w:bCs/>
          <w:color w:val="808080" w:themeColor="background1" w:themeShade="80"/>
          <w:sz w:val="20"/>
          <w:szCs w:val="20"/>
        </w:rPr>
        <w:t>se obtiene un índice cuyo resultado puede ir desde -100% a 100%</w:t>
      </w:r>
      <w:r w:rsidRPr="00E1195B">
        <w:rPr>
          <w:rFonts w:ascii="Arial" w:hAnsi="Arial" w:cs="Arial"/>
          <w:color w:val="808080" w:themeColor="background1" w:themeShade="80"/>
          <w:sz w:val="20"/>
          <w:szCs w:val="20"/>
        </w:rPr>
        <w:t>.</w:t>
      </w:r>
    </w:p>
    <w:p w14:paraId="78070E79" w14:textId="39F8CAAB" w:rsidR="00783F06" w:rsidRDefault="33A4F1E9" w:rsidP="00020001">
      <w:pPr>
        <w:jc w:val="both"/>
        <w:rPr>
          <w:rFonts w:ascii="Arial" w:hAnsi="Arial" w:cs="Arial"/>
          <w:b/>
          <w:bCs/>
          <w:sz w:val="16"/>
          <w:szCs w:val="16"/>
        </w:rPr>
      </w:pPr>
      <w:r w:rsidRPr="37037577">
        <w:rPr>
          <w:rFonts w:ascii="Arial" w:hAnsi="Arial" w:cs="Arial"/>
          <w:color w:val="808080" w:themeColor="background1" w:themeShade="80"/>
          <w:sz w:val="20"/>
          <w:szCs w:val="20"/>
        </w:rPr>
        <w:t>El estudio se lleva a cabo desde hace más de 60 años con la misma pregunta y perfil de encuestados. Desde el primer trimestre de 2022, las respuestas se recopilan a través de un sistema online de doble confirmación en el que se incentiva a los participantes a completar la encuesta.</w:t>
      </w:r>
    </w:p>
    <w:p w14:paraId="4AF41FDE" w14:textId="77777777" w:rsidR="002B2305" w:rsidRDefault="002B2305" w:rsidP="002B2305">
      <w:pPr>
        <w:jc w:val="both"/>
        <w:textAlignment w:val="baseline"/>
        <w:rPr>
          <w:rFonts w:ascii="Arial" w:eastAsia="Arial" w:hAnsi="Arial" w:cs="Arial"/>
          <w:sz w:val="16"/>
          <w:szCs w:val="16"/>
        </w:rPr>
      </w:pPr>
    </w:p>
    <w:bookmarkEnd w:id="0"/>
    <w:bookmarkEnd w:id="1"/>
    <w:p w14:paraId="39214EB4" w14:textId="77777777" w:rsidR="008D3E86" w:rsidRPr="003F3B91" w:rsidRDefault="008D3E86" w:rsidP="008D3E86">
      <w:pPr>
        <w:jc w:val="both"/>
        <w:rPr>
          <w:rFonts w:ascii="Arial" w:eastAsia="Arial" w:hAnsi="Arial" w:cs="Arial"/>
          <w:sz w:val="16"/>
          <w:szCs w:val="16"/>
        </w:rPr>
      </w:pPr>
      <w:r w:rsidRPr="003F3B91">
        <w:rPr>
          <w:rFonts w:ascii="Arial" w:eastAsia="Arial" w:hAnsi="Arial" w:cs="Arial"/>
          <w:b/>
          <w:sz w:val="16"/>
          <w:szCs w:val="16"/>
        </w:rPr>
        <w:t>ManpowerGroup</w:t>
      </w:r>
    </w:p>
    <w:p w14:paraId="4DD51DB1" w14:textId="77777777" w:rsidR="008D3E86" w:rsidRPr="003F3B91" w:rsidRDefault="008D3E86" w:rsidP="008D3E86">
      <w:pPr>
        <w:jc w:val="both"/>
        <w:rPr>
          <w:rFonts w:ascii="Arial" w:hAnsi="Arial" w:cs="Arial"/>
          <w:sz w:val="16"/>
          <w:szCs w:val="16"/>
        </w:rPr>
      </w:pPr>
      <w:r w:rsidRPr="003F3B91">
        <w:rPr>
          <w:rFonts w:ascii="Arial" w:hAnsi="Arial" w:cs="Arial"/>
          <w:sz w:val="16"/>
          <w:szCs w:val="16"/>
        </w:rPr>
        <w:t>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03E0E207" w14:textId="77777777" w:rsidR="008D3E86" w:rsidRPr="003F3B91" w:rsidRDefault="008D3E86" w:rsidP="008D3E86">
      <w:pPr>
        <w:jc w:val="both"/>
        <w:rPr>
          <w:rFonts w:ascii="Arial" w:hAnsi="Arial" w:cs="Arial"/>
          <w:sz w:val="16"/>
          <w:szCs w:val="16"/>
        </w:rPr>
      </w:pPr>
      <w:r w:rsidRPr="003F3B91">
        <w:rPr>
          <w:rFonts w:ascii="Arial" w:hAnsi="Arial" w:cs="Arial"/>
          <w:sz w:val="16"/>
          <w:szCs w:val="16"/>
        </w:rPr>
        <w:t xml:space="preserve">Más información en </w:t>
      </w:r>
      <w:hyperlink r:id="rId13" w:history="1">
        <w:r w:rsidRPr="003F3B91">
          <w:rPr>
            <w:rStyle w:val="Hipervnculo"/>
            <w:rFonts w:ascii="Arial" w:hAnsi="Arial" w:cs="Arial"/>
            <w:sz w:val="16"/>
            <w:szCs w:val="16"/>
          </w:rPr>
          <w:t>www.manpowergroup.es</w:t>
        </w:r>
      </w:hyperlink>
      <w:r w:rsidRPr="003F3B91">
        <w:rPr>
          <w:rFonts w:ascii="Arial" w:hAnsi="Arial" w:cs="Arial"/>
          <w:sz w:val="16"/>
          <w:szCs w:val="16"/>
        </w:rPr>
        <w:t>.</w:t>
      </w:r>
    </w:p>
    <w:p w14:paraId="654BC809" w14:textId="77777777" w:rsidR="008D3E86" w:rsidRPr="003F3B91" w:rsidRDefault="008D3E86" w:rsidP="008D3E86">
      <w:pPr>
        <w:jc w:val="both"/>
        <w:rPr>
          <w:rFonts w:ascii="Arial" w:eastAsia="Arial" w:hAnsi="Arial" w:cs="Arial"/>
          <w:sz w:val="16"/>
          <w:szCs w:val="16"/>
        </w:rPr>
      </w:pPr>
    </w:p>
    <w:p w14:paraId="1C492CDF" w14:textId="77777777" w:rsidR="00020001" w:rsidRPr="00761D60" w:rsidRDefault="00020001" w:rsidP="00020001">
      <w:pPr>
        <w:tabs>
          <w:tab w:val="right" w:pos="8838"/>
        </w:tabs>
        <w:autoSpaceDE w:val="0"/>
        <w:autoSpaceDN w:val="0"/>
        <w:adjustRightInd w:val="0"/>
        <w:jc w:val="both"/>
        <w:rPr>
          <w:rFonts w:ascii="Arial" w:hAnsi="Arial" w:cs="Arial"/>
          <w:b/>
          <w:bCs/>
          <w:sz w:val="16"/>
          <w:szCs w:val="16"/>
        </w:rPr>
      </w:pPr>
      <w:r w:rsidRPr="00761D60">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020001" w:rsidRPr="008861A5" w14:paraId="4219D9A6" w14:textId="77777777" w:rsidTr="00480E67">
        <w:trPr>
          <w:trHeight w:val="1159"/>
        </w:trPr>
        <w:tc>
          <w:tcPr>
            <w:tcW w:w="3686" w:type="dxa"/>
            <w:hideMark/>
          </w:tcPr>
          <w:p w14:paraId="3E4B3516" w14:textId="77777777" w:rsidR="00020001" w:rsidRPr="00761D60" w:rsidRDefault="00020001" w:rsidP="00480E67">
            <w:pPr>
              <w:pStyle w:val="NormalWeb"/>
              <w:spacing w:before="0" w:beforeAutospacing="0" w:after="0" w:afterAutospacing="0"/>
              <w:jc w:val="both"/>
              <w:rPr>
                <w:rStyle w:val="Hipervnculo"/>
                <w:rFonts w:ascii="Arial" w:eastAsia="MS Mincho" w:hAnsi="Arial" w:cs="Arial"/>
                <w:sz w:val="16"/>
                <w:szCs w:val="16"/>
              </w:rPr>
            </w:pPr>
            <w:bookmarkStart w:id="4" w:name="_Hlk90207537"/>
            <w:r w:rsidRPr="00761D60">
              <w:rPr>
                <w:rFonts w:ascii="Arial" w:hAnsi="Arial" w:cs="Arial"/>
                <w:color w:val="000000"/>
                <w:sz w:val="16"/>
                <w:szCs w:val="16"/>
                <w:u w:val="single"/>
              </w:rPr>
              <w:t xml:space="preserve">Agencia de comunicación </w:t>
            </w:r>
            <w:r>
              <w:rPr>
                <w:rFonts w:ascii="Arial" w:hAnsi="Arial" w:cs="Arial"/>
                <w:color w:val="000000"/>
                <w:sz w:val="16"/>
                <w:szCs w:val="16"/>
                <w:u w:val="single"/>
              </w:rPr>
              <w:t>Havas PR</w:t>
            </w:r>
          </w:p>
          <w:p w14:paraId="6640712B" w14:textId="77777777" w:rsidR="00020001" w:rsidRPr="00030508" w:rsidRDefault="00020001" w:rsidP="00480E67">
            <w:pPr>
              <w:pStyle w:val="NormalWeb"/>
              <w:spacing w:before="0" w:beforeAutospacing="0" w:after="0" w:afterAutospacing="0"/>
              <w:rPr>
                <w:rFonts w:ascii="Arial" w:hAnsi="Arial" w:cs="Arial"/>
                <w:color w:val="000000"/>
                <w:sz w:val="16"/>
                <w:szCs w:val="16"/>
              </w:rPr>
            </w:pPr>
            <w:hyperlink r:id="rId14" w:history="1">
              <w:r w:rsidRPr="00DC170F">
                <w:rPr>
                  <w:rStyle w:val="Hipervnculo"/>
                  <w:rFonts w:ascii="Arial" w:hAnsi="Arial" w:cs="Arial"/>
                  <w:b/>
                  <w:bCs/>
                  <w:sz w:val="16"/>
                  <w:szCs w:val="16"/>
                </w:rPr>
                <w:t>comunicacion.manpowergroup@havas.com</w:t>
              </w:r>
            </w:hyperlink>
            <w:r w:rsidRPr="00030508">
              <w:rPr>
                <w:rFonts w:ascii="Arial" w:hAnsi="Arial" w:cs="Arial"/>
                <w:b/>
                <w:bCs/>
                <w:color w:val="000000"/>
                <w:sz w:val="16"/>
                <w:szCs w:val="16"/>
              </w:rPr>
              <w:t xml:space="preserve"> </w:t>
            </w:r>
          </w:p>
          <w:p w14:paraId="51427934" w14:textId="77777777" w:rsidR="00020001" w:rsidRPr="00761D60" w:rsidRDefault="00020001" w:rsidP="00480E67">
            <w:pPr>
              <w:jc w:val="both"/>
              <w:outlineLvl w:val="0"/>
              <w:rPr>
                <w:rFonts w:ascii="Arial" w:hAnsi="Arial" w:cs="Arial"/>
                <w:b/>
                <w:sz w:val="16"/>
                <w:szCs w:val="16"/>
                <w:lang w:val="ca-ES"/>
              </w:rPr>
            </w:pPr>
          </w:p>
        </w:tc>
        <w:tc>
          <w:tcPr>
            <w:tcW w:w="2234" w:type="dxa"/>
          </w:tcPr>
          <w:p w14:paraId="7E30A005" w14:textId="77777777" w:rsidR="00020001" w:rsidRPr="00761D60" w:rsidRDefault="00020001" w:rsidP="00480E67">
            <w:pPr>
              <w:jc w:val="both"/>
              <w:rPr>
                <w:rFonts w:ascii="Arial" w:hAnsi="Arial" w:cs="Arial"/>
                <w:sz w:val="16"/>
                <w:szCs w:val="16"/>
                <w:lang w:val="ca-ES"/>
              </w:rPr>
            </w:pPr>
          </w:p>
        </w:tc>
        <w:tc>
          <w:tcPr>
            <w:tcW w:w="3028" w:type="dxa"/>
          </w:tcPr>
          <w:p w14:paraId="2A77E1BE" w14:textId="77777777" w:rsidR="00020001" w:rsidRPr="00761D60" w:rsidRDefault="00020001" w:rsidP="00480E67">
            <w:pPr>
              <w:jc w:val="both"/>
              <w:outlineLvl w:val="0"/>
              <w:rPr>
                <w:rFonts w:ascii="Arial" w:hAnsi="Arial" w:cs="Arial"/>
                <w:b/>
                <w:sz w:val="16"/>
                <w:szCs w:val="16"/>
              </w:rPr>
            </w:pPr>
            <w:r w:rsidRPr="00761D60">
              <w:rPr>
                <w:rFonts w:ascii="Arial" w:hAnsi="Arial" w:cs="Arial"/>
                <w:b/>
                <w:sz w:val="16"/>
                <w:szCs w:val="16"/>
              </w:rPr>
              <w:t>ManpowerGroup</w:t>
            </w:r>
          </w:p>
          <w:p w14:paraId="541C0EAA" w14:textId="77777777" w:rsidR="00020001" w:rsidRPr="00761D60" w:rsidRDefault="00020001" w:rsidP="00480E67">
            <w:pPr>
              <w:jc w:val="both"/>
              <w:outlineLvl w:val="0"/>
              <w:rPr>
                <w:rFonts w:ascii="Arial" w:hAnsi="Arial" w:cs="Arial"/>
                <w:sz w:val="16"/>
                <w:szCs w:val="16"/>
              </w:rPr>
            </w:pPr>
            <w:r w:rsidRPr="00761D60">
              <w:rPr>
                <w:rFonts w:ascii="Arial" w:hAnsi="Arial" w:cs="Arial"/>
                <w:sz w:val="16"/>
                <w:szCs w:val="16"/>
              </w:rPr>
              <w:t>Dpto. Comunicación</w:t>
            </w:r>
          </w:p>
          <w:p w14:paraId="536B6506" w14:textId="77777777" w:rsidR="00020001" w:rsidRPr="000D00D5" w:rsidRDefault="00020001" w:rsidP="00480E67">
            <w:pPr>
              <w:jc w:val="both"/>
              <w:rPr>
                <w:rFonts w:ascii="Arial" w:hAnsi="Arial" w:cs="Arial"/>
                <w:sz w:val="16"/>
                <w:szCs w:val="16"/>
              </w:rPr>
            </w:pPr>
            <w:r w:rsidRPr="000D00D5">
              <w:rPr>
                <w:rFonts w:ascii="Arial" w:hAnsi="Arial" w:cs="Arial"/>
                <w:sz w:val="16"/>
                <w:szCs w:val="16"/>
              </w:rPr>
              <w:t xml:space="preserve">Gala Díaz Curiel </w:t>
            </w:r>
          </w:p>
          <w:p w14:paraId="5A0F8C24" w14:textId="77777777" w:rsidR="00020001" w:rsidRPr="000D00D5" w:rsidRDefault="00020001" w:rsidP="00480E67">
            <w:pPr>
              <w:jc w:val="both"/>
              <w:rPr>
                <w:rFonts w:ascii="Arial" w:hAnsi="Arial" w:cs="Arial"/>
                <w:sz w:val="16"/>
                <w:szCs w:val="16"/>
              </w:rPr>
            </w:pPr>
            <w:r w:rsidRPr="000D00D5">
              <w:rPr>
                <w:rFonts w:ascii="Arial" w:hAnsi="Arial" w:cs="Arial"/>
                <w:sz w:val="16"/>
                <w:szCs w:val="16"/>
              </w:rPr>
              <w:t>607 35 33 49</w:t>
            </w:r>
          </w:p>
          <w:p w14:paraId="21802FAD" w14:textId="77777777" w:rsidR="00020001" w:rsidRPr="000D00D5" w:rsidRDefault="00020001" w:rsidP="00480E67">
            <w:pPr>
              <w:jc w:val="both"/>
              <w:rPr>
                <w:rFonts w:ascii="Arial" w:hAnsi="Arial" w:cs="Arial"/>
                <w:sz w:val="16"/>
                <w:szCs w:val="16"/>
                <w:u w:val="single"/>
              </w:rPr>
            </w:pPr>
            <w:hyperlink r:id="rId15" w:history="1">
              <w:r w:rsidRPr="000D00D5">
                <w:rPr>
                  <w:rStyle w:val="Hipervnculo"/>
                  <w:rFonts w:ascii="Arial" w:hAnsi="Arial" w:cs="Arial"/>
                  <w:sz w:val="16"/>
                  <w:szCs w:val="16"/>
                </w:rPr>
                <w:t>gala.diaz@manpowergroup.es</w:t>
              </w:r>
            </w:hyperlink>
          </w:p>
          <w:p w14:paraId="4DB1B738" w14:textId="77777777" w:rsidR="00020001" w:rsidRDefault="00020001" w:rsidP="00480E67">
            <w:pPr>
              <w:jc w:val="both"/>
              <w:rPr>
                <w:rFonts w:ascii="Arial" w:hAnsi="Arial" w:cs="Arial"/>
                <w:sz w:val="16"/>
                <w:szCs w:val="16"/>
              </w:rPr>
            </w:pPr>
          </w:p>
          <w:p w14:paraId="35CEC21A" w14:textId="77777777" w:rsidR="00020001" w:rsidRPr="00761D60" w:rsidRDefault="00020001" w:rsidP="00480E67">
            <w:pPr>
              <w:jc w:val="both"/>
              <w:rPr>
                <w:rFonts w:ascii="Arial" w:hAnsi="Arial" w:cs="Arial"/>
                <w:sz w:val="16"/>
                <w:szCs w:val="16"/>
              </w:rPr>
            </w:pPr>
            <w:r w:rsidRPr="00761D60">
              <w:rPr>
                <w:rFonts w:ascii="Arial" w:hAnsi="Arial" w:cs="Arial"/>
                <w:sz w:val="16"/>
                <w:szCs w:val="16"/>
              </w:rPr>
              <w:t>Juan Gómez Rodríguez</w:t>
            </w:r>
          </w:p>
          <w:p w14:paraId="57F9225B" w14:textId="77777777" w:rsidR="00020001" w:rsidRPr="00F51FFC" w:rsidRDefault="00020001" w:rsidP="00480E67">
            <w:pPr>
              <w:jc w:val="both"/>
              <w:rPr>
                <w:rFonts w:ascii="Arial" w:hAnsi="Arial" w:cs="Arial"/>
                <w:sz w:val="16"/>
                <w:szCs w:val="16"/>
                <w:lang w:val="de-DE"/>
              </w:rPr>
            </w:pPr>
            <w:r w:rsidRPr="00F51FFC">
              <w:rPr>
                <w:rFonts w:ascii="Arial" w:hAnsi="Arial" w:cs="Arial"/>
                <w:sz w:val="16"/>
                <w:szCs w:val="16"/>
                <w:lang w:val="de-DE"/>
              </w:rPr>
              <w:t>Tel. 687 51 96 90</w:t>
            </w:r>
          </w:p>
          <w:p w14:paraId="0BA7DEC5" w14:textId="77777777" w:rsidR="00020001" w:rsidRPr="00F51FFC" w:rsidRDefault="00020001" w:rsidP="00480E67">
            <w:pPr>
              <w:jc w:val="both"/>
              <w:rPr>
                <w:rFonts w:ascii="Arial" w:hAnsi="Arial" w:cs="Arial"/>
                <w:sz w:val="16"/>
                <w:szCs w:val="16"/>
                <w:lang w:val="de-DE"/>
              </w:rPr>
            </w:pPr>
            <w:hyperlink r:id="rId16" w:history="1">
              <w:r w:rsidRPr="00F51FFC">
                <w:rPr>
                  <w:rStyle w:val="Hipervnculo"/>
                  <w:rFonts w:ascii="Arial" w:hAnsi="Arial" w:cs="Arial"/>
                  <w:sz w:val="16"/>
                  <w:szCs w:val="16"/>
                  <w:lang w:val="de-DE"/>
                </w:rPr>
                <w:t>juan.gomez@manpowergroup.es</w:t>
              </w:r>
            </w:hyperlink>
          </w:p>
        </w:tc>
      </w:tr>
      <w:bookmarkEnd w:id="4"/>
    </w:tbl>
    <w:p w14:paraId="0F55B214" w14:textId="77777777" w:rsidR="008E54AD" w:rsidRPr="00F4564F" w:rsidRDefault="008E54AD" w:rsidP="001F6D47">
      <w:pPr>
        <w:tabs>
          <w:tab w:val="right" w:pos="8838"/>
        </w:tabs>
        <w:autoSpaceDE w:val="0"/>
        <w:autoSpaceDN w:val="0"/>
        <w:adjustRightInd w:val="0"/>
        <w:jc w:val="both"/>
        <w:rPr>
          <w:rFonts w:ascii="Arial" w:hAnsi="Arial" w:cs="Arial"/>
          <w:b/>
          <w:bCs/>
          <w:sz w:val="16"/>
          <w:szCs w:val="16"/>
          <w:lang w:val="de-DE"/>
        </w:rPr>
      </w:pPr>
    </w:p>
    <w:sectPr w:rsidR="008E54AD" w:rsidRPr="00F4564F" w:rsidSect="006A61A8">
      <w:headerReference w:type="default" r:id="rId17"/>
      <w:footerReference w:type="even" r:id="rId18"/>
      <w:footerReference w:type="default" r:id="rId19"/>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9B632" w14:textId="77777777" w:rsidR="00DF328E" w:rsidRDefault="00DF328E">
      <w:r>
        <w:separator/>
      </w:r>
    </w:p>
  </w:endnote>
  <w:endnote w:type="continuationSeparator" w:id="0">
    <w:p w14:paraId="3E8C93A7" w14:textId="77777777" w:rsidR="00DF328E" w:rsidRDefault="00DF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77777777" w:rsidR="003B09CB" w:rsidRDefault="00346E05" w:rsidP="00480E6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52DA8" w14:textId="77777777" w:rsidR="003B09CB" w:rsidRDefault="003B09CB" w:rsidP="00480E6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0A2D" w14:textId="77777777" w:rsidR="003B09CB" w:rsidRDefault="003B09CB" w:rsidP="00480E67">
    <w:pPr>
      <w:pStyle w:val="Piedepgina"/>
      <w:ind w:right="360"/>
    </w:pPr>
  </w:p>
  <w:p w14:paraId="23873518" w14:textId="77777777" w:rsidR="003B09CB" w:rsidRDefault="00346E05" w:rsidP="00480E67">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2" name="Imagen 34"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B555" w14:textId="77777777" w:rsidR="00DF328E" w:rsidRDefault="00DF328E">
      <w:r>
        <w:separator/>
      </w:r>
    </w:p>
  </w:footnote>
  <w:footnote w:type="continuationSeparator" w:id="0">
    <w:p w14:paraId="54653B94" w14:textId="77777777" w:rsidR="00DF328E" w:rsidRDefault="00DF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70FF" w14:textId="02096626" w:rsidR="001828BD" w:rsidRDefault="001828BD" w:rsidP="001828BD">
    <w:pPr>
      <w:pStyle w:val="Encabezado"/>
      <w:rPr>
        <w:rFonts w:ascii="Verdana" w:hAnsi="Verdana"/>
        <w:noProof/>
        <w:color w:val="616161"/>
        <w:sz w:val="14"/>
        <w:szCs w:val="14"/>
      </w:rPr>
    </w:pPr>
    <w:r>
      <w:rPr>
        <w:noProof/>
      </w:rPr>
      <w:drawing>
        <wp:anchor distT="0" distB="0" distL="114300" distR="114300" simplePos="0" relativeHeight="251658240" behindDoc="0" locked="0" layoutInCell="1" allowOverlap="1" wp14:anchorId="3B20B38C" wp14:editId="7094C451">
          <wp:simplePos x="0" y="0"/>
          <wp:positionH relativeFrom="column">
            <wp:posOffset>4480560</wp:posOffset>
          </wp:positionH>
          <wp:positionV relativeFrom="paragraph">
            <wp:posOffset>-120650</wp:posOffset>
          </wp:positionV>
          <wp:extent cx="1234440" cy="666750"/>
          <wp:effectExtent l="19050" t="0" r="3810" b="0"/>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234440" cy="666750"/>
                  </a:xfrm>
                  <a:prstGeom prst="rect">
                    <a:avLst/>
                  </a:prstGeom>
                  <a:noFill/>
                </pic:spPr>
              </pic:pic>
            </a:graphicData>
          </a:graphic>
        </wp:anchor>
      </w:drawing>
    </w:r>
  </w:p>
  <w:p w14:paraId="4F779F22" w14:textId="77777777" w:rsidR="001828BD" w:rsidRPr="00260C43" w:rsidRDefault="001828BD" w:rsidP="001828BD">
    <w:pPr>
      <w:pStyle w:val="Encabezado"/>
    </w:pPr>
  </w:p>
  <w:p w14:paraId="054F2965" w14:textId="2754F7A0" w:rsidR="003B09CB" w:rsidRPr="001828BD" w:rsidRDefault="003B09CB" w:rsidP="001828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967AF"/>
    <w:multiLevelType w:val="hybridMultilevel"/>
    <w:tmpl w:val="0764FA5E"/>
    <w:lvl w:ilvl="0" w:tplc="160E84D8">
      <w:start w:val="6"/>
      <w:numFmt w:val="bullet"/>
      <w:lvlText w:val=""/>
      <w:lvlJc w:val="left"/>
      <w:pPr>
        <w:ind w:left="360" w:hanging="360"/>
      </w:pPr>
      <w:rPr>
        <w:rFonts w:ascii="Symbol" w:eastAsia="Arial"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4"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99A531C"/>
    <w:multiLevelType w:val="multilevel"/>
    <w:tmpl w:val="296E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0"/>
  </w:num>
  <w:num w:numId="2" w16cid:durableId="1342783302">
    <w:abstractNumId w:val="3"/>
  </w:num>
  <w:num w:numId="3" w16cid:durableId="305208792">
    <w:abstractNumId w:val="2"/>
  </w:num>
  <w:num w:numId="4" w16cid:durableId="126244196">
    <w:abstractNumId w:val="1"/>
  </w:num>
  <w:num w:numId="5" w16cid:durableId="1245341768">
    <w:abstractNumId w:val="6"/>
  </w:num>
  <w:num w:numId="6" w16cid:durableId="597829097">
    <w:abstractNumId w:val="4"/>
  </w:num>
  <w:num w:numId="7" w16cid:durableId="395126067">
    <w:abstractNumId w:val="0"/>
  </w:num>
  <w:num w:numId="8" w16cid:durableId="1989552609">
    <w:abstractNumId w:val="0"/>
  </w:num>
  <w:num w:numId="9" w16cid:durableId="1917781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74CA"/>
    <w:rsid w:val="000101F6"/>
    <w:rsid w:val="00012535"/>
    <w:rsid w:val="0001254E"/>
    <w:rsid w:val="00017311"/>
    <w:rsid w:val="00017815"/>
    <w:rsid w:val="00020001"/>
    <w:rsid w:val="00021D85"/>
    <w:rsid w:val="0002514B"/>
    <w:rsid w:val="000258CF"/>
    <w:rsid w:val="00027C5D"/>
    <w:rsid w:val="00031AF2"/>
    <w:rsid w:val="00037A0F"/>
    <w:rsid w:val="000410D8"/>
    <w:rsid w:val="00042488"/>
    <w:rsid w:val="00057E37"/>
    <w:rsid w:val="0006279A"/>
    <w:rsid w:val="00063579"/>
    <w:rsid w:val="0006407D"/>
    <w:rsid w:val="00066C14"/>
    <w:rsid w:val="00084B60"/>
    <w:rsid w:val="000869A2"/>
    <w:rsid w:val="000906C2"/>
    <w:rsid w:val="00095B8E"/>
    <w:rsid w:val="000A1973"/>
    <w:rsid w:val="000A4D20"/>
    <w:rsid w:val="000B4CE2"/>
    <w:rsid w:val="000D2B5A"/>
    <w:rsid w:val="000D6BCE"/>
    <w:rsid w:val="000E49E6"/>
    <w:rsid w:val="000E662A"/>
    <w:rsid w:val="000E71B3"/>
    <w:rsid w:val="000F1600"/>
    <w:rsid w:val="0011037D"/>
    <w:rsid w:val="0012170F"/>
    <w:rsid w:val="00122E68"/>
    <w:rsid w:val="00123015"/>
    <w:rsid w:val="00124DEA"/>
    <w:rsid w:val="0012624A"/>
    <w:rsid w:val="001324E2"/>
    <w:rsid w:val="00132B7B"/>
    <w:rsid w:val="00137C4E"/>
    <w:rsid w:val="00142E26"/>
    <w:rsid w:val="00145F17"/>
    <w:rsid w:val="0014645D"/>
    <w:rsid w:val="00157558"/>
    <w:rsid w:val="00163CC1"/>
    <w:rsid w:val="0017076E"/>
    <w:rsid w:val="001741E5"/>
    <w:rsid w:val="00176074"/>
    <w:rsid w:val="00181155"/>
    <w:rsid w:val="001828BD"/>
    <w:rsid w:val="00183B91"/>
    <w:rsid w:val="0018572B"/>
    <w:rsid w:val="00186814"/>
    <w:rsid w:val="0019152E"/>
    <w:rsid w:val="00196895"/>
    <w:rsid w:val="001A1271"/>
    <w:rsid w:val="001A2A76"/>
    <w:rsid w:val="001A6D0D"/>
    <w:rsid w:val="001B13C9"/>
    <w:rsid w:val="001B18D2"/>
    <w:rsid w:val="001B2737"/>
    <w:rsid w:val="001B39AD"/>
    <w:rsid w:val="001F6139"/>
    <w:rsid w:val="001F6D47"/>
    <w:rsid w:val="00201573"/>
    <w:rsid w:val="002059D2"/>
    <w:rsid w:val="00212129"/>
    <w:rsid w:val="002246BA"/>
    <w:rsid w:val="00226CF7"/>
    <w:rsid w:val="002300D6"/>
    <w:rsid w:val="00231D36"/>
    <w:rsid w:val="002331A8"/>
    <w:rsid w:val="002334FC"/>
    <w:rsid w:val="002402D6"/>
    <w:rsid w:val="0024317A"/>
    <w:rsid w:val="00256B64"/>
    <w:rsid w:val="00275B27"/>
    <w:rsid w:val="0027672D"/>
    <w:rsid w:val="00280DEC"/>
    <w:rsid w:val="002870C7"/>
    <w:rsid w:val="0029077F"/>
    <w:rsid w:val="00294475"/>
    <w:rsid w:val="002A1736"/>
    <w:rsid w:val="002A3D92"/>
    <w:rsid w:val="002B2305"/>
    <w:rsid w:val="002B3386"/>
    <w:rsid w:val="002B3F52"/>
    <w:rsid w:val="002B461A"/>
    <w:rsid w:val="002C02D9"/>
    <w:rsid w:val="002D032D"/>
    <w:rsid w:val="002D69D8"/>
    <w:rsid w:val="002E289B"/>
    <w:rsid w:val="002E304F"/>
    <w:rsid w:val="002F04D0"/>
    <w:rsid w:val="003019C9"/>
    <w:rsid w:val="0031261F"/>
    <w:rsid w:val="0032424C"/>
    <w:rsid w:val="00326125"/>
    <w:rsid w:val="00331A79"/>
    <w:rsid w:val="00332D02"/>
    <w:rsid w:val="00333D12"/>
    <w:rsid w:val="00337FD2"/>
    <w:rsid w:val="003436D7"/>
    <w:rsid w:val="00344595"/>
    <w:rsid w:val="00346E05"/>
    <w:rsid w:val="003470C8"/>
    <w:rsid w:val="003509A5"/>
    <w:rsid w:val="0035236D"/>
    <w:rsid w:val="00356679"/>
    <w:rsid w:val="00356856"/>
    <w:rsid w:val="00357D6E"/>
    <w:rsid w:val="0036519F"/>
    <w:rsid w:val="0038071A"/>
    <w:rsid w:val="0038103A"/>
    <w:rsid w:val="00381B00"/>
    <w:rsid w:val="00383F58"/>
    <w:rsid w:val="00393767"/>
    <w:rsid w:val="00396788"/>
    <w:rsid w:val="003A214F"/>
    <w:rsid w:val="003A2B29"/>
    <w:rsid w:val="003B09CB"/>
    <w:rsid w:val="003B78B0"/>
    <w:rsid w:val="003C5FF2"/>
    <w:rsid w:val="003D0E85"/>
    <w:rsid w:val="003D4F9E"/>
    <w:rsid w:val="003D738F"/>
    <w:rsid w:val="003D7EDE"/>
    <w:rsid w:val="003E08D8"/>
    <w:rsid w:val="003E34D9"/>
    <w:rsid w:val="003E3C5F"/>
    <w:rsid w:val="003E70B2"/>
    <w:rsid w:val="003F40DD"/>
    <w:rsid w:val="003F6C92"/>
    <w:rsid w:val="00401FD2"/>
    <w:rsid w:val="00407AD8"/>
    <w:rsid w:val="0041402C"/>
    <w:rsid w:val="004162DB"/>
    <w:rsid w:val="00427501"/>
    <w:rsid w:val="0044035B"/>
    <w:rsid w:val="00441AA5"/>
    <w:rsid w:val="004510D0"/>
    <w:rsid w:val="004612C2"/>
    <w:rsid w:val="00465B91"/>
    <w:rsid w:val="00466751"/>
    <w:rsid w:val="00470A1A"/>
    <w:rsid w:val="00480E67"/>
    <w:rsid w:val="00482387"/>
    <w:rsid w:val="00483F52"/>
    <w:rsid w:val="00492F25"/>
    <w:rsid w:val="00494ED4"/>
    <w:rsid w:val="00497689"/>
    <w:rsid w:val="004B596E"/>
    <w:rsid w:val="004C0F40"/>
    <w:rsid w:val="004C2618"/>
    <w:rsid w:val="004C607E"/>
    <w:rsid w:val="004C7CAC"/>
    <w:rsid w:val="004D1FAF"/>
    <w:rsid w:val="004D7F17"/>
    <w:rsid w:val="004E23C4"/>
    <w:rsid w:val="004F52B5"/>
    <w:rsid w:val="004F5300"/>
    <w:rsid w:val="004F67EC"/>
    <w:rsid w:val="00503649"/>
    <w:rsid w:val="005106E5"/>
    <w:rsid w:val="00511BED"/>
    <w:rsid w:val="00512001"/>
    <w:rsid w:val="00512ACD"/>
    <w:rsid w:val="00515D51"/>
    <w:rsid w:val="005201CA"/>
    <w:rsid w:val="005209A4"/>
    <w:rsid w:val="00527688"/>
    <w:rsid w:val="00534234"/>
    <w:rsid w:val="00541A7B"/>
    <w:rsid w:val="00555D20"/>
    <w:rsid w:val="00561B53"/>
    <w:rsid w:val="00564AFB"/>
    <w:rsid w:val="00572170"/>
    <w:rsid w:val="0057357A"/>
    <w:rsid w:val="00576DDF"/>
    <w:rsid w:val="00577B92"/>
    <w:rsid w:val="00583013"/>
    <w:rsid w:val="005838B1"/>
    <w:rsid w:val="00584891"/>
    <w:rsid w:val="00590A1C"/>
    <w:rsid w:val="005939CD"/>
    <w:rsid w:val="00596187"/>
    <w:rsid w:val="005A44F4"/>
    <w:rsid w:val="005A7DB1"/>
    <w:rsid w:val="005A7E9C"/>
    <w:rsid w:val="005C1E72"/>
    <w:rsid w:val="005C33ED"/>
    <w:rsid w:val="005D17CE"/>
    <w:rsid w:val="005D1AE9"/>
    <w:rsid w:val="005D5DC2"/>
    <w:rsid w:val="005D6FF5"/>
    <w:rsid w:val="005E0545"/>
    <w:rsid w:val="005E4173"/>
    <w:rsid w:val="005F0582"/>
    <w:rsid w:val="005F1509"/>
    <w:rsid w:val="005F1CEB"/>
    <w:rsid w:val="00601B68"/>
    <w:rsid w:val="006116D1"/>
    <w:rsid w:val="00635FD7"/>
    <w:rsid w:val="00636A81"/>
    <w:rsid w:val="00642CB5"/>
    <w:rsid w:val="0064466A"/>
    <w:rsid w:val="006512E9"/>
    <w:rsid w:val="006515B4"/>
    <w:rsid w:val="00652342"/>
    <w:rsid w:val="006536BD"/>
    <w:rsid w:val="00655163"/>
    <w:rsid w:val="00670360"/>
    <w:rsid w:val="0067332C"/>
    <w:rsid w:val="00682AA2"/>
    <w:rsid w:val="006837DA"/>
    <w:rsid w:val="00687087"/>
    <w:rsid w:val="0068763B"/>
    <w:rsid w:val="00691081"/>
    <w:rsid w:val="00694B11"/>
    <w:rsid w:val="006972C0"/>
    <w:rsid w:val="006A61A8"/>
    <w:rsid w:val="006A7F27"/>
    <w:rsid w:val="006B0824"/>
    <w:rsid w:val="006B2084"/>
    <w:rsid w:val="006B6CC7"/>
    <w:rsid w:val="006B6EBB"/>
    <w:rsid w:val="006E11EB"/>
    <w:rsid w:val="006E5208"/>
    <w:rsid w:val="006E7F6A"/>
    <w:rsid w:val="0070063C"/>
    <w:rsid w:val="00700FE8"/>
    <w:rsid w:val="00710857"/>
    <w:rsid w:val="00720BA0"/>
    <w:rsid w:val="0072269E"/>
    <w:rsid w:val="00724CBF"/>
    <w:rsid w:val="00725C3C"/>
    <w:rsid w:val="00731F03"/>
    <w:rsid w:val="00741C49"/>
    <w:rsid w:val="00743A94"/>
    <w:rsid w:val="007544C7"/>
    <w:rsid w:val="007805CC"/>
    <w:rsid w:val="00783F06"/>
    <w:rsid w:val="00795548"/>
    <w:rsid w:val="00796D76"/>
    <w:rsid w:val="007A0082"/>
    <w:rsid w:val="007A74B1"/>
    <w:rsid w:val="007B189E"/>
    <w:rsid w:val="007B59D1"/>
    <w:rsid w:val="007B679F"/>
    <w:rsid w:val="007C5E67"/>
    <w:rsid w:val="007D0AFC"/>
    <w:rsid w:val="007D0CFF"/>
    <w:rsid w:val="007E0F84"/>
    <w:rsid w:val="007E2DCC"/>
    <w:rsid w:val="00801C70"/>
    <w:rsid w:val="008034B2"/>
    <w:rsid w:val="00825CE9"/>
    <w:rsid w:val="00830556"/>
    <w:rsid w:val="00830B2F"/>
    <w:rsid w:val="00836F8E"/>
    <w:rsid w:val="008405EA"/>
    <w:rsid w:val="00841381"/>
    <w:rsid w:val="00853C2E"/>
    <w:rsid w:val="00853DF2"/>
    <w:rsid w:val="00857C81"/>
    <w:rsid w:val="008764B5"/>
    <w:rsid w:val="00882FCB"/>
    <w:rsid w:val="00885750"/>
    <w:rsid w:val="00886F0C"/>
    <w:rsid w:val="00890443"/>
    <w:rsid w:val="00891830"/>
    <w:rsid w:val="0089190E"/>
    <w:rsid w:val="008979FE"/>
    <w:rsid w:val="008A4224"/>
    <w:rsid w:val="008B14CC"/>
    <w:rsid w:val="008B155B"/>
    <w:rsid w:val="008B3A52"/>
    <w:rsid w:val="008B3FDB"/>
    <w:rsid w:val="008B79F9"/>
    <w:rsid w:val="008C0114"/>
    <w:rsid w:val="008C4467"/>
    <w:rsid w:val="008C44D3"/>
    <w:rsid w:val="008C5AB0"/>
    <w:rsid w:val="008D3E86"/>
    <w:rsid w:val="008E0924"/>
    <w:rsid w:val="008E54AD"/>
    <w:rsid w:val="008E730B"/>
    <w:rsid w:val="008F16C4"/>
    <w:rsid w:val="008F1BD7"/>
    <w:rsid w:val="00903495"/>
    <w:rsid w:val="00911D5D"/>
    <w:rsid w:val="00914020"/>
    <w:rsid w:val="00921F4A"/>
    <w:rsid w:val="00924550"/>
    <w:rsid w:val="00927308"/>
    <w:rsid w:val="00931026"/>
    <w:rsid w:val="00932CB7"/>
    <w:rsid w:val="00936982"/>
    <w:rsid w:val="00942998"/>
    <w:rsid w:val="009436E0"/>
    <w:rsid w:val="009456E3"/>
    <w:rsid w:val="00945B98"/>
    <w:rsid w:val="009632D9"/>
    <w:rsid w:val="00966C08"/>
    <w:rsid w:val="00970C74"/>
    <w:rsid w:val="0097165A"/>
    <w:rsid w:val="0097553E"/>
    <w:rsid w:val="00977BE7"/>
    <w:rsid w:val="00980A2D"/>
    <w:rsid w:val="0098143A"/>
    <w:rsid w:val="00981941"/>
    <w:rsid w:val="00982693"/>
    <w:rsid w:val="00991A90"/>
    <w:rsid w:val="009A0E87"/>
    <w:rsid w:val="009A1EB0"/>
    <w:rsid w:val="009A3526"/>
    <w:rsid w:val="009A3C34"/>
    <w:rsid w:val="009A6F8A"/>
    <w:rsid w:val="009B2C9F"/>
    <w:rsid w:val="009C2675"/>
    <w:rsid w:val="009C4562"/>
    <w:rsid w:val="009C610D"/>
    <w:rsid w:val="009D2871"/>
    <w:rsid w:val="009D2EF1"/>
    <w:rsid w:val="009D3CF7"/>
    <w:rsid w:val="009D4CEF"/>
    <w:rsid w:val="009E182B"/>
    <w:rsid w:val="009E64A8"/>
    <w:rsid w:val="009F01EA"/>
    <w:rsid w:val="009F2A76"/>
    <w:rsid w:val="009F301A"/>
    <w:rsid w:val="009F7DB9"/>
    <w:rsid w:val="009F7E1C"/>
    <w:rsid w:val="00A01277"/>
    <w:rsid w:val="00A02C34"/>
    <w:rsid w:val="00A346D1"/>
    <w:rsid w:val="00A34A0D"/>
    <w:rsid w:val="00A41710"/>
    <w:rsid w:val="00A45200"/>
    <w:rsid w:val="00A458AD"/>
    <w:rsid w:val="00A50B4D"/>
    <w:rsid w:val="00A52E71"/>
    <w:rsid w:val="00A54B87"/>
    <w:rsid w:val="00A56426"/>
    <w:rsid w:val="00A574BF"/>
    <w:rsid w:val="00A7208B"/>
    <w:rsid w:val="00A75968"/>
    <w:rsid w:val="00A81170"/>
    <w:rsid w:val="00A84DE6"/>
    <w:rsid w:val="00AA65A4"/>
    <w:rsid w:val="00AB24A2"/>
    <w:rsid w:val="00AB7073"/>
    <w:rsid w:val="00AC70FA"/>
    <w:rsid w:val="00AE0726"/>
    <w:rsid w:val="00AF11D7"/>
    <w:rsid w:val="00AF2C8A"/>
    <w:rsid w:val="00AF735D"/>
    <w:rsid w:val="00B05CD9"/>
    <w:rsid w:val="00B05D48"/>
    <w:rsid w:val="00B116AF"/>
    <w:rsid w:val="00B12B48"/>
    <w:rsid w:val="00B14FF8"/>
    <w:rsid w:val="00B179B5"/>
    <w:rsid w:val="00B22902"/>
    <w:rsid w:val="00B32DA9"/>
    <w:rsid w:val="00B33B9D"/>
    <w:rsid w:val="00B5158D"/>
    <w:rsid w:val="00B57048"/>
    <w:rsid w:val="00B60986"/>
    <w:rsid w:val="00B628EE"/>
    <w:rsid w:val="00B703D6"/>
    <w:rsid w:val="00B75AFC"/>
    <w:rsid w:val="00B8069B"/>
    <w:rsid w:val="00B87F8E"/>
    <w:rsid w:val="00B963D0"/>
    <w:rsid w:val="00BB1160"/>
    <w:rsid w:val="00BB39D9"/>
    <w:rsid w:val="00BB66B8"/>
    <w:rsid w:val="00BC0EE7"/>
    <w:rsid w:val="00BC45B7"/>
    <w:rsid w:val="00BC46BE"/>
    <w:rsid w:val="00BD5663"/>
    <w:rsid w:val="00BE22AA"/>
    <w:rsid w:val="00BF2547"/>
    <w:rsid w:val="00BF2A9C"/>
    <w:rsid w:val="00BF5E11"/>
    <w:rsid w:val="00C02974"/>
    <w:rsid w:val="00C122AC"/>
    <w:rsid w:val="00C41541"/>
    <w:rsid w:val="00C4624D"/>
    <w:rsid w:val="00C46CB3"/>
    <w:rsid w:val="00C536C9"/>
    <w:rsid w:val="00C549B2"/>
    <w:rsid w:val="00C61314"/>
    <w:rsid w:val="00C7314E"/>
    <w:rsid w:val="00C73CB1"/>
    <w:rsid w:val="00C74D41"/>
    <w:rsid w:val="00C82EFD"/>
    <w:rsid w:val="00C83097"/>
    <w:rsid w:val="00C91CCE"/>
    <w:rsid w:val="00C926CF"/>
    <w:rsid w:val="00C9362C"/>
    <w:rsid w:val="00C93B52"/>
    <w:rsid w:val="00C97060"/>
    <w:rsid w:val="00CA0905"/>
    <w:rsid w:val="00CA3E70"/>
    <w:rsid w:val="00CA50B7"/>
    <w:rsid w:val="00CB6B70"/>
    <w:rsid w:val="00CC1F87"/>
    <w:rsid w:val="00CC3472"/>
    <w:rsid w:val="00CF74FF"/>
    <w:rsid w:val="00D02D48"/>
    <w:rsid w:val="00D05483"/>
    <w:rsid w:val="00D206CE"/>
    <w:rsid w:val="00D27829"/>
    <w:rsid w:val="00D27A32"/>
    <w:rsid w:val="00D27B5C"/>
    <w:rsid w:val="00D3571D"/>
    <w:rsid w:val="00D437C8"/>
    <w:rsid w:val="00D62DA8"/>
    <w:rsid w:val="00D63AB2"/>
    <w:rsid w:val="00D64482"/>
    <w:rsid w:val="00D7168F"/>
    <w:rsid w:val="00D73001"/>
    <w:rsid w:val="00D7641E"/>
    <w:rsid w:val="00D85DD3"/>
    <w:rsid w:val="00D865AD"/>
    <w:rsid w:val="00D90EF8"/>
    <w:rsid w:val="00D92B75"/>
    <w:rsid w:val="00DA225F"/>
    <w:rsid w:val="00DA428E"/>
    <w:rsid w:val="00DB0F1B"/>
    <w:rsid w:val="00DB3544"/>
    <w:rsid w:val="00DB45BA"/>
    <w:rsid w:val="00DB5EEF"/>
    <w:rsid w:val="00DC304A"/>
    <w:rsid w:val="00DC6709"/>
    <w:rsid w:val="00DD02D1"/>
    <w:rsid w:val="00DD53A1"/>
    <w:rsid w:val="00DD74C5"/>
    <w:rsid w:val="00DE381F"/>
    <w:rsid w:val="00DE502B"/>
    <w:rsid w:val="00DF328E"/>
    <w:rsid w:val="00DF4C04"/>
    <w:rsid w:val="00DF6943"/>
    <w:rsid w:val="00E10601"/>
    <w:rsid w:val="00E12E1F"/>
    <w:rsid w:val="00E13BED"/>
    <w:rsid w:val="00E14B59"/>
    <w:rsid w:val="00E269C3"/>
    <w:rsid w:val="00E36DF7"/>
    <w:rsid w:val="00E375F1"/>
    <w:rsid w:val="00E64F9B"/>
    <w:rsid w:val="00E66280"/>
    <w:rsid w:val="00E675C5"/>
    <w:rsid w:val="00E700A0"/>
    <w:rsid w:val="00E845CF"/>
    <w:rsid w:val="00E91772"/>
    <w:rsid w:val="00EA76C6"/>
    <w:rsid w:val="00EA7C7E"/>
    <w:rsid w:val="00EB283B"/>
    <w:rsid w:val="00ED24D6"/>
    <w:rsid w:val="00ED4D55"/>
    <w:rsid w:val="00ED543B"/>
    <w:rsid w:val="00ED788C"/>
    <w:rsid w:val="00EE2B53"/>
    <w:rsid w:val="00EE7830"/>
    <w:rsid w:val="00F00E57"/>
    <w:rsid w:val="00F03D39"/>
    <w:rsid w:val="00F0652C"/>
    <w:rsid w:val="00F0730E"/>
    <w:rsid w:val="00F12D89"/>
    <w:rsid w:val="00F12F38"/>
    <w:rsid w:val="00F24D52"/>
    <w:rsid w:val="00F26D2A"/>
    <w:rsid w:val="00F34988"/>
    <w:rsid w:val="00F3670F"/>
    <w:rsid w:val="00F4008A"/>
    <w:rsid w:val="00F432F1"/>
    <w:rsid w:val="00F439EB"/>
    <w:rsid w:val="00F45079"/>
    <w:rsid w:val="00F4564F"/>
    <w:rsid w:val="00F45C5A"/>
    <w:rsid w:val="00F5395E"/>
    <w:rsid w:val="00F5559A"/>
    <w:rsid w:val="00F72967"/>
    <w:rsid w:val="00F73932"/>
    <w:rsid w:val="00F73A73"/>
    <w:rsid w:val="00F74E6C"/>
    <w:rsid w:val="00F761C4"/>
    <w:rsid w:val="00F8760C"/>
    <w:rsid w:val="00F87D9D"/>
    <w:rsid w:val="00F90F89"/>
    <w:rsid w:val="00F93A2E"/>
    <w:rsid w:val="00F95E09"/>
    <w:rsid w:val="00F963D2"/>
    <w:rsid w:val="00FA2A48"/>
    <w:rsid w:val="00FA4337"/>
    <w:rsid w:val="00FB0875"/>
    <w:rsid w:val="00FB561C"/>
    <w:rsid w:val="00FB69D7"/>
    <w:rsid w:val="00FC3937"/>
    <w:rsid w:val="00FC7734"/>
    <w:rsid w:val="00FC7D4B"/>
    <w:rsid w:val="00FE0A8D"/>
    <w:rsid w:val="00FF00F2"/>
    <w:rsid w:val="00FF1C0C"/>
    <w:rsid w:val="00FF4E94"/>
    <w:rsid w:val="00FF5770"/>
    <w:rsid w:val="21B0B44B"/>
    <w:rsid w:val="33A4F1E9"/>
    <w:rsid w:val="34F5731C"/>
    <w:rsid w:val="37037577"/>
    <w:rsid w:val="37B2ECD1"/>
    <w:rsid w:val="390AFFD6"/>
    <w:rsid w:val="3D989EB9"/>
    <w:rsid w:val="3DD1DE98"/>
    <w:rsid w:val="40AB7CD7"/>
    <w:rsid w:val="45C2A830"/>
    <w:rsid w:val="50554881"/>
    <w:rsid w:val="50589700"/>
    <w:rsid w:val="515891EC"/>
    <w:rsid w:val="54ADE0D9"/>
    <w:rsid w:val="623F47EB"/>
    <w:rsid w:val="6D87E6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8C9D"/>
  <w15:docId w15:val="{D4BB5462-7C15-4862-842F-6C83EE3F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paragraph" w:styleId="Ttulo3">
    <w:name w:val="heading 3"/>
    <w:basedOn w:val="Normal"/>
    <w:next w:val="Normal"/>
    <w:link w:val="Ttulo3Car"/>
    <w:uiPriority w:val="9"/>
    <w:semiHidden/>
    <w:unhideWhenUsed/>
    <w:qFormat/>
    <w:rsid w:val="00725C3C"/>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7217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z-Principiodelformulario">
    <w:name w:val="HTML Top of Form"/>
    <w:basedOn w:val="Normal"/>
    <w:next w:val="Normal"/>
    <w:link w:val="z-PrincipiodelformularioCar"/>
    <w:hidden/>
    <w:uiPriority w:val="99"/>
    <w:semiHidden/>
    <w:unhideWhenUsed/>
    <w:rsid w:val="00123015"/>
    <w:pPr>
      <w:pBdr>
        <w:bottom w:val="single" w:sz="6" w:space="1" w:color="auto"/>
      </w:pBdr>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123015"/>
    <w:rPr>
      <w:rFonts w:ascii="Arial" w:eastAsia="Times New Roman" w:hAnsi="Arial" w:cs="Arial"/>
      <w:vanish/>
      <w:sz w:val="16"/>
      <w:szCs w:val="16"/>
      <w:lang w:eastAsia="es-ES"/>
    </w:rPr>
  </w:style>
  <w:style w:type="paragraph" w:styleId="Revisin">
    <w:name w:val="Revision"/>
    <w:hidden/>
    <w:uiPriority w:val="99"/>
    <w:semiHidden/>
    <w:rsid w:val="0019152E"/>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5D17CE"/>
    <w:rPr>
      <w:b/>
      <w:bCs/>
      <w:lang w:eastAsia="es-ES"/>
    </w:rPr>
  </w:style>
  <w:style w:type="character" w:customStyle="1" w:styleId="AsuntodelcomentarioCar">
    <w:name w:val="Asunto del comentario Car"/>
    <w:basedOn w:val="TextocomentarioCar"/>
    <w:link w:val="Asuntodelcomentario"/>
    <w:uiPriority w:val="99"/>
    <w:semiHidden/>
    <w:rsid w:val="005D17CE"/>
    <w:rPr>
      <w:rFonts w:ascii="Times New Roman" w:eastAsia="MS Mincho" w:hAnsi="Times New Roman" w:cs="Times New Roman"/>
      <w:b/>
      <w:bCs/>
      <w:sz w:val="20"/>
      <w:szCs w:val="20"/>
      <w:lang w:eastAsia="es-ES"/>
    </w:rPr>
  </w:style>
  <w:style w:type="character" w:customStyle="1" w:styleId="Ttulo4Car">
    <w:name w:val="Título 4 Car"/>
    <w:basedOn w:val="Fuentedeprrafopredeter"/>
    <w:link w:val="Ttulo4"/>
    <w:uiPriority w:val="9"/>
    <w:semiHidden/>
    <w:rsid w:val="00572170"/>
    <w:rPr>
      <w:rFonts w:asciiTheme="majorHAnsi" w:eastAsiaTheme="majorEastAsia" w:hAnsiTheme="majorHAnsi" w:cstheme="majorBidi"/>
      <w:i/>
      <w:iCs/>
      <w:color w:val="2F5496" w:themeColor="accent1" w:themeShade="BF"/>
      <w:sz w:val="24"/>
      <w:szCs w:val="24"/>
      <w:lang w:eastAsia="es-ES"/>
    </w:rPr>
  </w:style>
  <w:style w:type="character" w:customStyle="1" w:styleId="Ttulo3Car">
    <w:name w:val="Título 3 Car"/>
    <w:basedOn w:val="Fuentedeprrafopredeter"/>
    <w:link w:val="Ttulo3"/>
    <w:uiPriority w:val="9"/>
    <w:semiHidden/>
    <w:rsid w:val="00725C3C"/>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742">
      <w:bodyDiv w:val="1"/>
      <w:marLeft w:val="0"/>
      <w:marRight w:val="0"/>
      <w:marTop w:val="0"/>
      <w:marBottom w:val="0"/>
      <w:divBdr>
        <w:top w:val="none" w:sz="0" w:space="0" w:color="auto"/>
        <w:left w:val="none" w:sz="0" w:space="0" w:color="auto"/>
        <w:bottom w:val="none" w:sz="0" w:space="0" w:color="auto"/>
        <w:right w:val="none" w:sz="0" w:space="0" w:color="auto"/>
      </w:divBdr>
    </w:div>
    <w:div w:id="38289123">
      <w:bodyDiv w:val="1"/>
      <w:marLeft w:val="0"/>
      <w:marRight w:val="0"/>
      <w:marTop w:val="0"/>
      <w:marBottom w:val="0"/>
      <w:divBdr>
        <w:top w:val="none" w:sz="0" w:space="0" w:color="auto"/>
        <w:left w:val="none" w:sz="0" w:space="0" w:color="auto"/>
        <w:bottom w:val="none" w:sz="0" w:space="0" w:color="auto"/>
        <w:right w:val="none" w:sz="0" w:space="0" w:color="auto"/>
      </w:divBdr>
    </w:div>
    <w:div w:id="56125386">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155852077">
      <w:bodyDiv w:val="1"/>
      <w:marLeft w:val="0"/>
      <w:marRight w:val="0"/>
      <w:marTop w:val="0"/>
      <w:marBottom w:val="0"/>
      <w:divBdr>
        <w:top w:val="none" w:sz="0" w:space="0" w:color="auto"/>
        <w:left w:val="none" w:sz="0" w:space="0" w:color="auto"/>
        <w:bottom w:val="none" w:sz="0" w:space="0" w:color="auto"/>
        <w:right w:val="none" w:sz="0" w:space="0" w:color="auto"/>
      </w:divBdr>
    </w:div>
    <w:div w:id="163859236">
      <w:bodyDiv w:val="1"/>
      <w:marLeft w:val="0"/>
      <w:marRight w:val="0"/>
      <w:marTop w:val="0"/>
      <w:marBottom w:val="0"/>
      <w:divBdr>
        <w:top w:val="none" w:sz="0" w:space="0" w:color="auto"/>
        <w:left w:val="none" w:sz="0" w:space="0" w:color="auto"/>
        <w:bottom w:val="none" w:sz="0" w:space="0" w:color="auto"/>
        <w:right w:val="none" w:sz="0" w:space="0" w:color="auto"/>
      </w:divBdr>
    </w:div>
    <w:div w:id="181746330">
      <w:bodyDiv w:val="1"/>
      <w:marLeft w:val="0"/>
      <w:marRight w:val="0"/>
      <w:marTop w:val="0"/>
      <w:marBottom w:val="0"/>
      <w:divBdr>
        <w:top w:val="none" w:sz="0" w:space="0" w:color="auto"/>
        <w:left w:val="none" w:sz="0" w:space="0" w:color="auto"/>
        <w:bottom w:val="none" w:sz="0" w:space="0" w:color="auto"/>
        <w:right w:val="none" w:sz="0" w:space="0" w:color="auto"/>
      </w:divBdr>
    </w:div>
    <w:div w:id="303435184">
      <w:bodyDiv w:val="1"/>
      <w:marLeft w:val="0"/>
      <w:marRight w:val="0"/>
      <w:marTop w:val="0"/>
      <w:marBottom w:val="0"/>
      <w:divBdr>
        <w:top w:val="none" w:sz="0" w:space="0" w:color="auto"/>
        <w:left w:val="none" w:sz="0" w:space="0" w:color="auto"/>
        <w:bottom w:val="none" w:sz="0" w:space="0" w:color="auto"/>
        <w:right w:val="none" w:sz="0" w:space="0" w:color="auto"/>
      </w:divBdr>
    </w:div>
    <w:div w:id="315496941">
      <w:bodyDiv w:val="1"/>
      <w:marLeft w:val="0"/>
      <w:marRight w:val="0"/>
      <w:marTop w:val="0"/>
      <w:marBottom w:val="0"/>
      <w:divBdr>
        <w:top w:val="none" w:sz="0" w:space="0" w:color="auto"/>
        <w:left w:val="none" w:sz="0" w:space="0" w:color="auto"/>
        <w:bottom w:val="none" w:sz="0" w:space="0" w:color="auto"/>
        <w:right w:val="none" w:sz="0" w:space="0" w:color="auto"/>
      </w:divBdr>
    </w:div>
    <w:div w:id="323246777">
      <w:bodyDiv w:val="1"/>
      <w:marLeft w:val="0"/>
      <w:marRight w:val="0"/>
      <w:marTop w:val="0"/>
      <w:marBottom w:val="0"/>
      <w:divBdr>
        <w:top w:val="none" w:sz="0" w:space="0" w:color="auto"/>
        <w:left w:val="none" w:sz="0" w:space="0" w:color="auto"/>
        <w:bottom w:val="none" w:sz="0" w:space="0" w:color="auto"/>
        <w:right w:val="none" w:sz="0" w:space="0" w:color="auto"/>
      </w:divBdr>
    </w:div>
    <w:div w:id="327832660">
      <w:bodyDiv w:val="1"/>
      <w:marLeft w:val="0"/>
      <w:marRight w:val="0"/>
      <w:marTop w:val="0"/>
      <w:marBottom w:val="0"/>
      <w:divBdr>
        <w:top w:val="none" w:sz="0" w:space="0" w:color="auto"/>
        <w:left w:val="none" w:sz="0" w:space="0" w:color="auto"/>
        <w:bottom w:val="none" w:sz="0" w:space="0" w:color="auto"/>
        <w:right w:val="none" w:sz="0" w:space="0" w:color="auto"/>
      </w:divBdr>
    </w:div>
    <w:div w:id="332416244">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58972841">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57455238">
      <w:bodyDiv w:val="1"/>
      <w:marLeft w:val="0"/>
      <w:marRight w:val="0"/>
      <w:marTop w:val="0"/>
      <w:marBottom w:val="0"/>
      <w:divBdr>
        <w:top w:val="none" w:sz="0" w:space="0" w:color="auto"/>
        <w:left w:val="none" w:sz="0" w:space="0" w:color="auto"/>
        <w:bottom w:val="none" w:sz="0" w:space="0" w:color="auto"/>
        <w:right w:val="none" w:sz="0" w:space="0" w:color="auto"/>
      </w:divBdr>
    </w:div>
    <w:div w:id="469633282">
      <w:bodyDiv w:val="1"/>
      <w:marLeft w:val="0"/>
      <w:marRight w:val="0"/>
      <w:marTop w:val="0"/>
      <w:marBottom w:val="0"/>
      <w:divBdr>
        <w:top w:val="none" w:sz="0" w:space="0" w:color="auto"/>
        <w:left w:val="none" w:sz="0" w:space="0" w:color="auto"/>
        <w:bottom w:val="none" w:sz="0" w:space="0" w:color="auto"/>
        <w:right w:val="none" w:sz="0" w:space="0" w:color="auto"/>
      </w:divBdr>
    </w:div>
    <w:div w:id="476653772">
      <w:bodyDiv w:val="1"/>
      <w:marLeft w:val="0"/>
      <w:marRight w:val="0"/>
      <w:marTop w:val="0"/>
      <w:marBottom w:val="0"/>
      <w:divBdr>
        <w:top w:val="none" w:sz="0" w:space="0" w:color="auto"/>
        <w:left w:val="none" w:sz="0" w:space="0" w:color="auto"/>
        <w:bottom w:val="none" w:sz="0" w:space="0" w:color="auto"/>
        <w:right w:val="none" w:sz="0" w:space="0" w:color="auto"/>
      </w:divBdr>
      <w:divsChild>
        <w:div w:id="173884134">
          <w:marLeft w:val="0"/>
          <w:marRight w:val="0"/>
          <w:marTop w:val="0"/>
          <w:marBottom w:val="0"/>
          <w:divBdr>
            <w:top w:val="none" w:sz="0" w:space="0" w:color="auto"/>
            <w:left w:val="none" w:sz="0" w:space="0" w:color="auto"/>
            <w:bottom w:val="none" w:sz="0" w:space="0" w:color="auto"/>
            <w:right w:val="none" w:sz="0" w:space="0" w:color="auto"/>
          </w:divBdr>
        </w:div>
        <w:div w:id="915553303">
          <w:marLeft w:val="0"/>
          <w:marRight w:val="0"/>
          <w:marTop w:val="0"/>
          <w:marBottom w:val="0"/>
          <w:divBdr>
            <w:top w:val="single" w:sz="2" w:space="0" w:color="D9D9E3"/>
            <w:left w:val="single" w:sz="2" w:space="0" w:color="D9D9E3"/>
            <w:bottom w:val="single" w:sz="2" w:space="0" w:color="D9D9E3"/>
            <w:right w:val="single" w:sz="2" w:space="0" w:color="D9D9E3"/>
          </w:divBdr>
          <w:divsChild>
            <w:div w:id="945235432">
              <w:marLeft w:val="0"/>
              <w:marRight w:val="0"/>
              <w:marTop w:val="0"/>
              <w:marBottom w:val="0"/>
              <w:divBdr>
                <w:top w:val="single" w:sz="2" w:space="0" w:color="D9D9E3"/>
                <w:left w:val="single" w:sz="2" w:space="0" w:color="D9D9E3"/>
                <w:bottom w:val="single" w:sz="2" w:space="0" w:color="D9D9E3"/>
                <w:right w:val="single" w:sz="2" w:space="0" w:color="D9D9E3"/>
              </w:divBdr>
              <w:divsChild>
                <w:div w:id="1299458819">
                  <w:marLeft w:val="0"/>
                  <w:marRight w:val="0"/>
                  <w:marTop w:val="0"/>
                  <w:marBottom w:val="0"/>
                  <w:divBdr>
                    <w:top w:val="single" w:sz="2" w:space="0" w:color="D9D9E3"/>
                    <w:left w:val="single" w:sz="2" w:space="0" w:color="D9D9E3"/>
                    <w:bottom w:val="single" w:sz="2" w:space="0" w:color="D9D9E3"/>
                    <w:right w:val="single" w:sz="2" w:space="0" w:color="D9D9E3"/>
                  </w:divBdr>
                  <w:divsChild>
                    <w:div w:id="382876451">
                      <w:marLeft w:val="0"/>
                      <w:marRight w:val="0"/>
                      <w:marTop w:val="0"/>
                      <w:marBottom w:val="0"/>
                      <w:divBdr>
                        <w:top w:val="single" w:sz="2" w:space="0" w:color="D9D9E3"/>
                        <w:left w:val="single" w:sz="2" w:space="0" w:color="D9D9E3"/>
                        <w:bottom w:val="single" w:sz="2" w:space="0" w:color="D9D9E3"/>
                        <w:right w:val="single" w:sz="2" w:space="0" w:color="D9D9E3"/>
                      </w:divBdr>
                      <w:divsChild>
                        <w:div w:id="1799176988">
                          <w:marLeft w:val="0"/>
                          <w:marRight w:val="0"/>
                          <w:marTop w:val="0"/>
                          <w:marBottom w:val="0"/>
                          <w:divBdr>
                            <w:top w:val="single" w:sz="2" w:space="0" w:color="D9D9E3"/>
                            <w:left w:val="single" w:sz="2" w:space="0" w:color="D9D9E3"/>
                            <w:bottom w:val="single" w:sz="2" w:space="0" w:color="D9D9E3"/>
                            <w:right w:val="single" w:sz="2" w:space="0" w:color="D9D9E3"/>
                          </w:divBdr>
                          <w:divsChild>
                            <w:div w:id="1764956515">
                              <w:marLeft w:val="0"/>
                              <w:marRight w:val="0"/>
                              <w:marTop w:val="100"/>
                              <w:marBottom w:val="100"/>
                              <w:divBdr>
                                <w:top w:val="single" w:sz="2" w:space="0" w:color="D9D9E3"/>
                                <w:left w:val="single" w:sz="2" w:space="0" w:color="D9D9E3"/>
                                <w:bottom w:val="single" w:sz="2" w:space="0" w:color="D9D9E3"/>
                                <w:right w:val="single" w:sz="2" w:space="0" w:color="D9D9E3"/>
                              </w:divBdr>
                              <w:divsChild>
                                <w:div w:id="1874997905">
                                  <w:marLeft w:val="0"/>
                                  <w:marRight w:val="0"/>
                                  <w:marTop w:val="0"/>
                                  <w:marBottom w:val="0"/>
                                  <w:divBdr>
                                    <w:top w:val="single" w:sz="2" w:space="0" w:color="D9D9E3"/>
                                    <w:left w:val="single" w:sz="2" w:space="0" w:color="D9D9E3"/>
                                    <w:bottom w:val="single" w:sz="2" w:space="0" w:color="D9D9E3"/>
                                    <w:right w:val="single" w:sz="2" w:space="0" w:color="D9D9E3"/>
                                  </w:divBdr>
                                  <w:divsChild>
                                    <w:div w:id="926504532">
                                      <w:marLeft w:val="0"/>
                                      <w:marRight w:val="0"/>
                                      <w:marTop w:val="0"/>
                                      <w:marBottom w:val="0"/>
                                      <w:divBdr>
                                        <w:top w:val="single" w:sz="2" w:space="0" w:color="D9D9E3"/>
                                        <w:left w:val="single" w:sz="2" w:space="0" w:color="D9D9E3"/>
                                        <w:bottom w:val="single" w:sz="2" w:space="0" w:color="D9D9E3"/>
                                        <w:right w:val="single" w:sz="2" w:space="0" w:color="D9D9E3"/>
                                      </w:divBdr>
                                      <w:divsChild>
                                        <w:div w:id="1131901484">
                                          <w:marLeft w:val="0"/>
                                          <w:marRight w:val="0"/>
                                          <w:marTop w:val="0"/>
                                          <w:marBottom w:val="0"/>
                                          <w:divBdr>
                                            <w:top w:val="single" w:sz="2" w:space="0" w:color="D9D9E3"/>
                                            <w:left w:val="single" w:sz="2" w:space="0" w:color="D9D9E3"/>
                                            <w:bottom w:val="single" w:sz="2" w:space="0" w:color="D9D9E3"/>
                                            <w:right w:val="single" w:sz="2" w:space="0" w:color="D9D9E3"/>
                                          </w:divBdr>
                                          <w:divsChild>
                                            <w:div w:id="4524912">
                                              <w:marLeft w:val="0"/>
                                              <w:marRight w:val="0"/>
                                              <w:marTop w:val="0"/>
                                              <w:marBottom w:val="0"/>
                                              <w:divBdr>
                                                <w:top w:val="single" w:sz="2" w:space="0" w:color="D9D9E3"/>
                                                <w:left w:val="single" w:sz="2" w:space="0" w:color="D9D9E3"/>
                                                <w:bottom w:val="single" w:sz="2" w:space="0" w:color="D9D9E3"/>
                                                <w:right w:val="single" w:sz="2" w:space="0" w:color="D9D9E3"/>
                                              </w:divBdr>
                                              <w:divsChild>
                                                <w:div w:id="590823352">
                                                  <w:marLeft w:val="0"/>
                                                  <w:marRight w:val="0"/>
                                                  <w:marTop w:val="0"/>
                                                  <w:marBottom w:val="0"/>
                                                  <w:divBdr>
                                                    <w:top w:val="single" w:sz="2" w:space="0" w:color="D9D9E3"/>
                                                    <w:left w:val="single" w:sz="2" w:space="0" w:color="D9D9E3"/>
                                                    <w:bottom w:val="single" w:sz="2" w:space="0" w:color="D9D9E3"/>
                                                    <w:right w:val="single" w:sz="2" w:space="0" w:color="D9D9E3"/>
                                                  </w:divBdr>
                                                  <w:divsChild>
                                                    <w:div w:id="832257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523516708">
      <w:bodyDiv w:val="1"/>
      <w:marLeft w:val="0"/>
      <w:marRight w:val="0"/>
      <w:marTop w:val="0"/>
      <w:marBottom w:val="0"/>
      <w:divBdr>
        <w:top w:val="none" w:sz="0" w:space="0" w:color="auto"/>
        <w:left w:val="none" w:sz="0" w:space="0" w:color="auto"/>
        <w:bottom w:val="none" w:sz="0" w:space="0" w:color="auto"/>
        <w:right w:val="none" w:sz="0" w:space="0" w:color="auto"/>
      </w:divBdr>
    </w:div>
    <w:div w:id="569120476">
      <w:bodyDiv w:val="1"/>
      <w:marLeft w:val="0"/>
      <w:marRight w:val="0"/>
      <w:marTop w:val="0"/>
      <w:marBottom w:val="0"/>
      <w:divBdr>
        <w:top w:val="none" w:sz="0" w:space="0" w:color="auto"/>
        <w:left w:val="none" w:sz="0" w:space="0" w:color="auto"/>
        <w:bottom w:val="none" w:sz="0" w:space="0" w:color="auto"/>
        <w:right w:val="none" w:sz="0" w:space="0" w:color="auto"/>
      </w:divBdr>
    </w:div>
    <w:div w:id="582685774">
      <w:bodyDiv w:val="1"/>
      <w:marLeft w:val="0"/>
      <w:marRight w:val="0"/>
      <w:marTop w:val="0"/>
      <w:marBottom w:val="0"/>
      <w:divBdr>
        <w:top w:val="none" w:sz="0" w:space="0" w:color="auto"/>
        <w:left w:val="none" w:sz="0" w:space="0" w:color="auto"/>
        <w:bottom w:val="none" w:sz="0" w:space="0" w:color="auto"/>
        <w:right w:val="none" w:sz="0" w:space="0" w:color="auto"/>
      </w:divBdr>
    </w:div>
    <w:div w:id="595290859">
      <w:bodyDiv w:val="1"/>
      <w:marLeft w:val="0"/>
      <w:marRight w:val="0"/>
      <w:marTop w:val="0"/>
      <w:marBottom w:val="0"/>
      <w:divBdr>
        <w:top w:val="none" w:sz="0" w:space="0" w:color="auto"/>
        <w:left w:val="none" w:sz="0" w:space="0" w:color="auto"/>
        <w:bottom w:val="none" w:sz="0" w:space="0" w:color="auto"/>
        <w:right w:val="none" w:sz="0" w:space="0" w:color="auto"/>
      </w:divBdr>
    </w:div>
    <w:div w:id="619188871">
      <w:bodyDiv w:val="1"/>
      <w:marLeft w:val="0"/>
      <w:marRight w:val="0"/>
      <w:marTop w:val="0"/>
      <w:marBottom w:val="0"/>
      <w:divBdr>
        <w:top w:val="none" w:sz="0" w:space="0" w:color="auto"/>
        <w:left w:val="none" w:sz="0" w:space="0" w:color="auto"/>
        <w:bottom w:val="none" w:sz="0" w:space="0" w:color="auto"/>
        <w:right w:val="none" w:sz="0" w:space="0" w:color="auto"/>
      </w:divBdr>
    </w:div>
    <w:div w:id="630213393">
      <w:bodyDiv w:val="1"/>
      <w:marLeft w:val="0"/>
      <w:marRight w:val="0"/>
      <w:marTop w:val="0"/>
      <w:marBottom w:val="0"/>
      <w:divBdr>
        <w:top w:val="none" w:sz="0" w:space="0" w:color="auto"/>
        <w:left w:val="none" w:sz="0" w:space="0" w:color="auto"/>
        <w:bottom w:val="none" w:sz="0" w:space="0" w:color="auto"/>
        <w:right w:val="none" w:sz="0" w:space="0" w:color="auto"/>
      </w:divBdr>
    </w:div>
    <w:div w:id="644310588">
      <w:bodyDiv w:val="1"/>
      <w:marLeft w:val="0"/>
      <w:marRight w:val="0"/>
      <w:marTop w:val="0"/>
      <w:marBottom w:val="0"/>
      <w:divBdr>
        <w:top w:val="none" w:sz="0" w:space="0" w:color="auto"/>
        <w:left w:val="none" w:sz="0" w:space="0" w:color="auto"/>
        <w:bottom w:val="none" w:sz="0" w:space="0" w:color="auto"/>
        <w:right w:val="none" w:sz="0" w:space="0" w:color="auto"/>
      </w:divBdr>
    </w:div>
    <w:div w:id="648559298">
      <w:bodyDiv w:val="1"/>
      <w:marLeft w:val="0"/>
      <w:marRight w:val="0"/>
      <w:marTop w:val="0"/>
      <w:marBottom w:val="0"/>
      <w:divBdr>
        <w:top w:val="none" w:sz="0" w:space="0" w:color="auto"/>
        <w:left w:val="none" w:sz="0" w:space="0" w:color="auto"/>
        <w:bottom w:val="none" w:sz="0" w:space="0" w:color="auto"/>
        <w:right w:val="none" w:sz="0" w:space="0" w:color="auto"/>
      </w:divBdr>
    </w:div>
    <w:div w:id="679308695">
      <w:bodyDiv w:val="1"/>
      <w:marLeft w:val="0"/>
      <w:marRight w:val="0"/>
      <w:marTop w:val="0"/>
      <w:marBottom w:val="0"/>
      <w:divBdr>
        <w:top w:val="none" w:sz="0" w:space="0" w:color="auto"/>
        <w:left w:val="none" w:sz="0" w:space="0" w:color="auto"/>
        <w:bottom w:val="none" w:sz="0" w:space="0" w:color="auto"/>
        <w:right w:val="none" w:sz="0" w:space="0" w:color="auto"/>
      </w:divBdr>
    </w:div>
    <w:div w:id="690494240">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759716014">
      <w:bodyDiv w:val="1"/>
      <w:marLeft w:val="0"/>
      <w:marRight w:val="0"/>
      <w:marTop w:val="0"/>
      <w:marBottom w:val="0"/>
      <w:divBdr>
        <w:top w:val="none" w:sz="0" w:space="0" w:color="auto"/>
        <w:left w:val="none" w:sz="0" w:space="0" w:color="auto"/>
        <w:bottom w:val="none" w:sz="0" w:space="0" w:color="auto"/>
        <w:right w:val="none" w:sz="0" w:space="0" w:color="auto"/>
      </w:divBdr>
    </w:div>
    <w:div w:id="767505954">
      <w:bodyDiv w:val="1"/>
      <w:marLeft w:val="0"/>
      <w:marRight w:val="0"/>
      <w:marTop w:val="0"/>
      <w:marBottom w:val="0"/>
      <w:divBdr>
        <w:top w:val="none" w:sz="0" w:space="0" w:color="auto"/>
        <w:left w:val="none" w:sz="0" w:space="0" w:color="auto"/>
        <w:bottom w:val="none" w:sz="0" w:space="0" w:color="auto"/>
        <w:right w:val="none" w:sz="0" w:space="0" w:color="auto"/>
      </w:divBdr>
    </w:div>
    <w:div w:id="77884157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842819627">
      <w:bodyDiv w:val="1"/>
      <w:marLeft w:val="0"/>
      <w:marRight w:val="0"/>
      <w:marTop w:val="0"/>
      <w:marBottom w:val="0"/>
      <w:divBdr>
        <w:top w:val="none" w:sz="0" w:space="0" w:color="auto"/>
        <w:left w:val="none" w:sz="0" w:space="0" w:color="auto"/>
        <w:bottom w:val="none" w:sz="0" w:space="0" w:color="auto"/>
        <w:right w:val="none" w:sz="0" w:space="0" w:color="auto"/>
      </w:divBdr>
    </w:div>
    <w:div w:id="847015814">
      <w:bodyDiv w:val="1"/>
      <w:marLeft w:val="0"/>
      <w:marRight w:val="0"/>
      <w:marTop w:val="0"/>
      <w:marBottom w:val="0"/>
      <w:divBdr>
        <w:top w:val="none" w:sz="0" w:space="0" w:color="auto"/>
        <w:left w:val="none" w:sz="0" w:space="0" w:color="auto"/>
        <w:bottom w:val="none" w:sz="0" w:space="0" w:color="auto"/>
        <w:right w:val="none" w:sz="0" w:space="0" w:color="auto"/>
      </w:divBdr>
    </w:div>
    <w:div w:id="918832599">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41454728">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01085747">
      <w:bodyDiv w:val="1"/>
      <w:marLeft w:val="0"/>
      <w:marRight w:val="0"/>
      <w:marTop w:val="0"/>
      <w:marBottom w:val="0"/>
      <w:divBdr>
        <w:top w:val="none" w:sz="0" w:space="0" w:color="auto"/>
        <w:left w:val="none" w:sz="0" w:space="0" w:color="auto"/>
        <w:bottom w:val="none" w:sz="0" w:space="0" w:color="auto"/>
        <w:right w:val="none" w:sz="0" w:space="0" w:color="auto"/>
      </w:divBdr>
    </w:div>
    <w:div w:id="1001930646">
      <w:bodyDiv w:val="1"/>
      <w:marLeft w:val="0"/>
      <w:marRight w:val="0"/>
      <w:marTop w:val="0"/>
      <w:marBottom w:val="0"/>
      <w:divBdr>
        <w:top w:val="none" w:sz="0" w:space="0" w:color="auto"/>
        <w:left w:val="none" w:sz="0" w:space="0" w:color="auto"/>
        <w:bottom w:val="none" w:sz="0" w:space="0" w:color="auto"/>
        <w:right w:val="none" w:sz="0" w:space="0" w:color="auto"/>
      </w:divBdr>
    </w:div>
    <w:div w:id="1021276977">
      <w:bodyDiv w:val="1"/>
      <w:marLeft w:val="0"/>
      <w:marRight w:val="0"/>
      <w:marTop w:val="0"/>
      <w:marBottom w:val="0"/>
      <w:divBdr>
        <w:top w:val="none" w:sz="0" w:space="0" w:color="auto"/>
        <w:left w:val="none" w:sz="0" w:space="0" w:color="auto"/>
        <w:bottom w:val="none" w:sz="0" w:space="0" w:color="auto"/>
        <w:right w:val="none" w:sz="0" w:space="0" w:color="auto"/>
      </w:divBdr>
      <w:divsChild>
        <w:div w:id="829442275">
          <w:marLeft w:val="0"/>
          <w:marRight w:val="0"/>
          <w:marTop w:val="0"/>
          <w:marBottom w:val="0"/>
          <w:divBdr>
            <w:top w:val="none" w:sz="0" w:space="0" w:color="auto"/>
            <w:left w:val="none" w:sz="0" w:space="0" w:color="auto"/>
            <w:bottom w:val="none" w:sz="0" w:space="0" w:color="auto"/>
            <w:right w:val="none" w:sz="0" w:space="0" w:color="auto"/>
          </w:divBdr>
          <w:divsChild>
            <w:div w:id="662196144">
              <w:marLeft w:val="0"/>
              <w:marRight w:val="0"/>
              <w:marTop w:val="0"/>
              <w:marBottom w:val="0"/>
              <w:divBdr>
                <w:top w:val="none" w:sz="0" w:space="0" w:color="auto"/>
                <w:left w:val="none" w:sz="0" w:space="0" w:color="auto"/>
                <w:bottom w:val="none" w:sz="0" w:space="0" w:color="auto"/>
                <w:right w:val="none" w:sz="0" w:space="0" w:color="auto"/>
              </w:divBdr>
              <w:divsChild>
                <w:div w:id="102652505">
                  <w:marLeft w:val="0"/>
                  <w:marRight w:val="0"/>
                  <w:marTop w:val="0"/>
                  <w:marBottom w:val="0"/>
                  <w:divBdr>
                    <w:top w:val="none" w:sz="0" w:space="0" w:color="auto"/>
                    <w:left w:val="none" w:sz="0" w:space="0" w:color="auto"/>
                    <w:bottom w:val="none" w:sz="0" w:space="0" w:color="auto"/>
                    <w:right w:val="none" w:sz="0" w:space="0" w:color="auto"/>
                  </w:divBdr>
                  <w:divsChild>
                    <w:div w:id="138697301">
                      <w:marLeft w:val="0"/>
                      <w:marRight w:val="0"/>
                      <w:marTop w:val="0"/>
                      <w:marBottom w:val="0"/>
                      <w:divBdr>
                        <w:top w:val="none" w:sz="0" w:space="0" w:color="auto"/>
                        <w:left w:val="none" w:sz="0" w:space="0" w:color="auto"/>
                        <w:bottom w:val="none" w:sz="0" w:space="0" w:color="auto"/>
                        <w:right w:val="none" w:sz="0" w:space="0" w:color="auto"/>
                      </w:divBdr>
                      <w:divsChild>
                        <w:div w:id="1409426611">
                          <w:marLeft w:val="0"/>
                          <w:marRight w:val="0"/>
                          <w:marTop w:val="0"/>
                          <w:marBottom w:val="0"/>
                          <w:divBdr>
                            <w:top w:val="none" w:sz="0" w:space="0" w:color="auto"/>
                            <w:left w:val="none" w:sz="0" w:space="0" w:color="auto"/>
                            <w:bottom w:val="none" w:sz="0" w:space="0" w:color="auto"/>
                            <w:right w:val="none" w:sz="0" w:space="0" w:color="auto"/>
                          </w:divBdr>
                          <w:divsChild>
                            <w:div w:id="6802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17151">
      <w:bodyDiv w:val="1"/>
      <w:marLeft w:val="0"/>
      <w:marRight w:val="0"/>
      <w:marTop w:val="0"/>
      <w:marBottom w:val="0"/>
      <w:divBdr>
        <w:top w:val="none" w:sz="0" w:space="0" w:color="auto"/>
        <w:left w:val="none" w:sz="0" w:space="0" w:color="auto"/>
        <w:bottom w:val="none" w:sz="0" w:space="0" w:color="auto"/>
        <w:right w:val="none" w:sz="0" w:space="0" w:color="auto"/>
      </w:divBdr>
    </w:div>
    <w:div w:id="1078674205">
      <w:bodyDiv w:val="1"/>
      <w:marLeft w:val="0"/>
      <w:marRight w:val="0"/>
      <w:marTop w:val="0"/>
      <w:marBottom w:val="0"/>
      <w:divBdr>
        <w:top w:val="none" w:sz="0" w:space="0" w:color="auto"/>
        <w:left w:val="none" w:sz="0" w:space="0" w:color="auto"/>
        <w:bottom w:val="none" w:sz="0" w:space="0" w:color="auto"/>
        <w:right w:val="none" w:sz="0" w:space="0" w:color="auto"/>
      </w:divBdr>
    </w:div>
    <w:div w:id="1082262863">
      <w:bodyDiv w:val="1"/>
      <w:marLeft w:val="0"/>
      <w:marRight w:val="0"/>
      <w:marTop w:val="0"/>
      <w:marBottom w:val="0"/>
      <w:divBdr>
        <w:top w:val="none" w:sz="0" w:space="0" w:color="auto"/>
        <w:left w:val="none" w:sz="0" w:space="0" w:color="auto"/>
        <w:bottom w:val="none" w:sz="0" w:space="0" w:color="auto"/>
        <w:right w:val="none" w:sz="0" w:space="0" w:color="auto"/>
      </w:divBdr>
    </w:div>
    <w:div w:id="1087460134">
      <w:bodyDiv w:val="1"/>
      <w:marLeft w:val="0"/>
      <w:marRight w:val="0"/>
      <w:marTop w:val="0"/>
      <w:marBottom w:val="0"/>
      <w:divBdr>
        <w:top w:val="none" w:sz="0" w:space="0" w:color="auto"/>
        <w:left w:val="none" w:sz="0" w:space="0" w:color="auto"/>
        <w:bottom w:val="none" w:sz="0" w:space="0" w:color="auto"/>
        <w:right w:val="none" w:sz="0" w:space="0" w:color="auto"/>
      </w:divBdr>
      <w:divsChild>
        <w:div w:id="1417820359">
          <w:marLeft w:val="0"/>
          <w:marRight w:val="0"/>
          <w:marTop w:val="0"/>
          <w:marBottom w:val="0"/>
          <w:divBdr>
            <w:top w:val="none" w:sz="0" w:space="0" w:color="auto"/>
            <w:left w:val="none" w:sz="0" w:space="0" w:color="auto"/>
            <w:bottom w:val="none" w:sz="0" w:space="0" w:color="auto"/>
            <w:right w:val="none" w:sz="0" w:space="0" w:color="auto"/>
          </w:divBdr>
          <w:divsChild>
            <w:div w:id="749621386">
              <w:marLeft w:val="0"/>
              <w:marRight w:val="0"/>
              <w:marTop w:val="0"/>
              <w:marBottom w:val="0"/>
              <w:divBdr>
                <w:top w:val="none" w:sz="0" w:space="0" w:color="auto"/>
                <w:left w:val="none" w:sz="0" w:space="0" w:color="auto"/>
                <w:bottom w:val="none" w:sz="0" w:space="0" w:color="auto"/>
                <w:right w:val="none" w:sz="0" w:space="0" w:color="auto"/>
              </w:divBdr>
              <w:divsChild>
                <w:div w:id="991714759">
                  <w:marLeft w:val="0"/>
                  <w:marRight w:val="0"/>
                  <w:marTop w:val="0"/>
                  <w:marBottom w:val="0"/>
                  <w:divBdr>
                    <w:top w:val="none" w:sz="0" w:space="0" w:color="auto"/>
                    <w:left w:val="none" w:sz="0" w:space="0" w:color="auto"/>
                    <w:bottom w:val="none" w:sz="0" w:space="0" w:color="auto"/>
                    <w:right w:val="none" w:sz="0" w:space="0" w:color="auto"/>
                  </w:divBdr>
                  <w:divsChild>
                    <w:div w:id="206534329">
                      <w:marLeft w:val="0"/>
                      <w:marRight w:val="0"/>
                      <w:marTop w:val="0"/>
                      <w:marBottom w:val="0"/>
                      <w:divBdr>
                        <w:top w:val="none" w:sz="0" w:space="0" w:color="auto"/>
                        <w:left w:val="none" w:sz="0" w:space="0" w:color="auto"/>
                        <w:bottom w:val="none" w:sz="0" w:space="0" w:color="auto"/>
                        <w:right w:val="none" w:sz="0" w:space="0" w:color="auto"/>
                      </w:divBdr>
                      <w:divsChild>
                        <w:div w:id="1811169818">
                          <w:marLeft w:val="0"/>
                          <w:marRight w:val="0"/>
                          <w:marTop w:val="0"/>
                          <w:marBottom w:val="0"/>
                          <w:divBdr>
                            <w:top w:val="none" w:sz="0" w:space="0" w:color="auto"/>
                            <w:left w:val="none" w:sz="0" w:space="0" w:color="auto"/>
                            <w:bottom w:val="none" w:sz="0" w:space="0" w:color="auto"/>
                            <w:right w:val="none" w:sz="0" w:space="0" w:color="auto"/>
                          </w:divBdr>
                          <w:divsChild>
                            <w:div w:id="2205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48889">
      <w:bodyDiv w:val="1"/>
      <w:marLeft w:val="0"/>
      <w:marRight w:val="0"/>
      <w:marTop w:val="0"/>
      <w:marBottom w:val="0"/>
      <w:divBdr>
        <w:top w:val="none" w:sz="0" w:space="0" w:color="auto"/>
        <w:left w:val="none" w:sz="0" w:space="0" w:color="auto"/>
        <w:bottom w:val="none" w:sz="0" w:space="0" w:color="auto"/>
        <w:right w:val="none" w:sz="0" w:space="0" w:color="auto"/>
      </w:divBdr>
    </w:div>
    <w:div w:id="1158766683">
      <w:bodyDiv w:val="1"/>
      <w:marLeft w:val="0"/>
      <w:marRight w:val="0"/>
      <w:marTop w:val="0"/>
      <w:marBottom w:val="0"/>
      <w:divBdr>
        <w:top w:val="none" w:sz="0" w:space="0" w:color="auto"/>
        <w:left w:val="none" w:sz="0" w:space="0" w:color="auto"/>
        <w:bottom w:val="none" w:sz="0" w:space="0" w:color="auto"/>
        <w:right w:val="none" w:sz="0" w:space="0" w:color="auto"/>
      </w:divBdr>
    </w:div>
    <w:div w:id="1174102512">
      <w:bodyDiv w:val="1"/>
      <w:marLeft w:val="0"/>
      <w:marRight w:val="0"/>
      <w:marTop w:val="0"/>
      <w:marBottom w:val="0"/>
      <w:divBdr>
        <w:top w:val="none" w:sz="0" w:space="0" w:color="auto"/>
        <w:left w:val="none" w:sz="0" w:space="0" w:color="auto"/>
        <w:bottom w:val="none" w:sz="0" w:space="0" w:color="auto"/>
        <w:right w:val="none" w:sz="0" w:space="0" w:color="auto"/>
      </w:divBdr>
    </w:div>
    <w:div w:id="1198662046">
      <w:bodyDiv w:val="1"/>
      <w:marLeft w:val="0"/>
      <w:marRight w:val="0"/>
      <w:marTop w:val="0"/>
      <w:marBottom w:val="0"/>
      <w:divBdr>
        <w:top w:val="none" w:sz="0" w:space="0" w:color="auto"/>
        <w:left w:val="none" w:sz="0" w:space="0" w:color="auto"/>
        <w:bottom w:val="none" w:sz="0" w:space="0" w:color="auto"/>
        <w:right w:val="none" w:sz="0" w:space="0" w:color="auto"/>
      </w:divBdr>
    </w:div>
    <w:div w:id="1219635609">
      <w:bodyDiv w:val="1"/>
      <w:marLeft w:val="0"/>
      <w:marRight w:val="0"/>
      <w:marTop w:val="0"/>
      <w:marBottom w:val="0"/>
      <w:divBdr>
        <w:top w:val="none" w:sz="0" w:space="0" w:color="auto"/>
        <w:left w:val="none" w:sz="0" w:space="0" w:color="auto"/>
        <w:bottom w:val="none" w:sz="0" w:space="0" w:color="auto"/>
        <w:right w:val="none" w:sz="0" w:space="0" w:color="auto"/>
      </w:divBdr>
    </w:div>
    <w:div w:id="1241720300">
      <w:bodyDiv w:val="1"/>
      <w:marLeft w:val="0"/>
      <w:marRight w:val="0"/>
      <w:marTop w:val="0"/>
      <w:marBottom w:val="0"/>
      <w:divBdr>
        <w:top w:val="none" w:sz="0" w:space="0" w:color="auto"/>
        <w:left w:val="none" w:sz="0" w:space="0" w:color="auto"/>
        <w:bottom w:val="none" w:sz="0" w:space="0" w:color="auto"/>
        <w:right w:val="none" w:sz="0" w:space="0" w:color="auto"/>
      </w:divBdr>
    </w:div>
    <w:div w:id="1292979096">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09937955">
      <w:bodyDiv w:val="1"/>
      <w:marLeft w:val="0"/>
      <w:marRight w:val="0"/>
      <w:marTop w:val="0"/>
      <w:marBottom w:val="0"/>
      <w:divBdr>
        <w:top w:val="none" w:sz="0" w:space="0" w:color="auto"/>
        <w:left w:val="none" w:sz="0" w:space="0" w:color="auto"/>
        <w:bottom w:val="none" w:sz="0" w:space="0" w:color="auto"/>
        <w:right w:val="none" w:sz="0" w:space="0" w:color="auto"/>
      </w:divBdr>
    </w:div>
    <w:div w:id="1325548037">
      <w:bodyDiv w:val="1"/>
      <w:marLeft w:val="0"/>
      <w:marRight w:val="0"/>
      <w:marTop w:val="0"/>
      <w:marBottom w:val="0"/>
      <w:divBdr>
        <w:top w:val="none" w:sz="0" w:space="0" w:color="auto"/>
        <w:left w:val="none" w:sz="0" w:space="0" w:color="auto"/>
        <w:bottom w:val="none" w:sz="0" w:space="0" w:color="auto"/>
        <w:right w:val="none" w:sz="0" w:space="0" w:color="auto"/>
      </w:divBdr>
    </w:div>
    <w:div w:id="1373576100">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602836664">
      <w:bodyDiv w:val="1"/>
      <w:marLeft w:val="0"/>
      <w:marRight w:val="0"/>
      <w:marTop w:val="0"/>
      <w:marBottom w:val="0"/>
      <w:divBdr>
        <w:top w:val="none" w:sz="0" w:space="0" w:color="auto"/>
        <w:left w:val="none" w:sz="0" w:space="0" w:color="auto"/>
        <w:bottom w:val="none" w:sz="0" w:space="0" w:color="auto"/>
        <w:right w:val="none" w:sz="0" w:space="0" w:color="auto"/>
      </w:divBdr>
    </w:div>
    <w:div w:id="1626081467">
      <w:bodyDiv w:val="1"/>
      <w:marLeft w:val="0"/>
      <w:marRight w:val="0"/>
      <w:marTop w:val="0"/>
      <w:marBottom w:val="0"/>
      <w:divBdr>
        <w:top w:val="none" w:sz="0" w:space="0" w:color="auto"/>
        <w:left w:val="none" w:sz="0" w:space="0" w:color="auto"/>
        <w:bottom w:val="none" w:sz="0" w:space="0" w:color="auto"/>
        <w:right w:val="none" w:sz="0" w:space="0" w:color="auto"/>
      </w:divBdr>
    </w:div>
    <w:div w:id="1655530457">
      <w:bodyDiv w:val="1"/>
      <w:marLeft w:val="0"/>
      <w:marRight w:val="0"/>
      <w:marTop w:val="0"/>
      <w:marBottom w:val="0"/>
      <w:divBdr>
        <w:top w:val="none" w:sz="0" w:space="0" w:color="auto"/>
        <w:left w:val="none" w:sz="0" w:space="0" w:color="auto"/>
        <w:bottom w:val="none" w:sz="0" w:space="0" w:color="auto"/>
        <w:right w:val="none" w:sz="0" w:space="0" w:color="auto"/>
      </w:divBdr>
    </w:div>
    <w:div w:id="1682275768">
      <w:bodyDiv w:val="1"/>
      <w:marLeft w:val="0"/>
      <w:marRight w:val="0"/>
      <w:marTop w:val="0"/>
      <w:marBottom w:val="0"/>
      <w:divBdr>
        <w:top w:val="none" w:sz="0" w:space="0" w:color="auto"/>
        <w:left w:val="none" w:sz="0" w:space="0" w:color="auto"/>
        <w:bottom w:val="none" w:sz="0" w:space="0" w:color="auto"/>
        <w:right w:val="none" w:sz="0" w:space="0" w:color="auto"/>
      </w:divBdr>
    </w:div>
    <w:div w:id="1758015367">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96213865">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07158861">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855613256">
      <w:bodyDiv w:val="1"/>
      <w:marLeft w:val="0"/>
      <w:marRight w:val="0"/>
      <w:marTop w:val="0"/>
      <w:marBottom w:val="0"/>
      <w:divBdr>
        <w:top w:val="none" w:sz="0" w:space="0" w:color="auto"/>
        <w:left w:val="none" w:sz="0" w:space="0" w:color="auto"/>
        <w:bottom w:val="none" w:sz="0" w:space="0" w:color="auto"/>
        <w:right w:val="none" w:sz="0" w:space="0" w:color="auto"/>
      </w:divBdr>
    </w:div>
    <w:div w:id="1878859375">
      <w:bodyDiv w:val="1"/>
      <w:marLeft w:val="0"/>
      <w:marRight w:val="0"/>
      <w:marTop w:val="0"/>
      <w:marBottom w:val="0"/>
      <w:divBdr>
        <w:top w:val="none" w:sz="0" w:space="0" w:color="auto"/>
        <w:left w:val="none" w:sz="0" w:space="0" w:color="auto"/>
        <w:bottom w:val="none" w:sz="0" w:space="0" w:color="auto"/>
        <w:right w:val="none" w:sz="0" w:space="0" w:color="auto"/>
      </w:divBdr>
    </w:div>
    <w:div w:id="1879463075">
      <w:bodyDiv w:val="1"/>
      <w:marLeft w:val="0"/>
      <w:marRight w:val="0"/>
      <w:marTop w:val="0"/>
      <w:marBottom w:val="0"/>
      <w:divBdr>
        <w:top w:val="none" w:sz="0" w:space="0" w:color="auto"/>
        <w:left w:val="none" w:sz="0" w:space="0" w:color="auto"/>
        <w:bottom w:val="none" w:sz="0" w:space="0" w:color="auto"/>
        <w:right w:val="none" w:sz="0" w:space="0" w:color="auto"/>
      </w:divBdr>
    </w:div>
    <w:div w:id="1880624768">
      <w:bodyDiv w:val="1"/>
      <w:marLeft w:val="0"/>
      <w:marRight w:val="0"/>
      <w:marTop w:val="0"/>
      <w:marBottom w:val="0"/>
      <w:divBdr>
        <w:top w:val="none" w:sz="0" w:space="0" w:color="auto"/>
        <w:left w:val="none" w:sz="0" w:space="0" w:color="auto"/>
        <w:bottom w:val="none" w:sz="0" w:space="0" w:color="auto"/>
        <w:right w:val="none" w:sz="0" w:space="0" w:color="auto"/>
      </w:divBdr>
    </w:div>
    <w:div w:id="1894079558">
      <w:bodyDiv w:val="1"/>
      <w:marLeft w:val="0"/>
      <w:marRight w:val="0"/>
      <w:marTop w:val="0"/>
      <w:marBottom w:val="0"/>
      <w:divBdr>
        <w:top w:val="none" w:sz="0" w:space="0" w:color="auto"/>
        <w:left w:val="none" w:sz="0" w:space="0" w:color="auto"/>
        <w:bottom w:val="none" w:sz="0" w:space="0" w:color="auto"/>
        <w:right w:val="none" w:sz="0" w:space="0" w:color="auto"/>
      </w:divBdr>
    </w:div>
    <w:div w:id="1895696696">
      <w:bodyDiv w:val="1"/>
      <w:marLeft w:val="0"/>
      <w:marRight w:val="0"/>
      <w:marTop w:val="0"/>
      <w:marBottom w:val="0"/>
      <w:divBdr>
        <w:top w:val="none" w:sz="0" w:space="0" w:color="auto"/>
        <w:left w:val="none" w:sz="0" w:space="0" w:color="auto"/>
        <w:bottom w:val="none" w:sz="0" w:space="0" w:color="auto"/>
        <w:right w:val="none" w:sz="0" w:space="0" w:color="auto"/>
      </w:divBdr>
    </w:div>
    <w:div w:id="1913201708">
      <w:bodyDiv w:val="1"/>
      <w:marLeft w:val="0"/>
      <w:marRight w:val="0"/>
      <w:marTop w:val="0"/>
      <w:marBottom w:val="0"/>
      <w:divBdr>
        <w:top w:val="none" w:sz="0" w:space="0" w:color="auto"/>
        <w:left w:val="none" w:sz="0" w:space="0" w:color="auto"/>
        <w:bottom w:val="none" w:sz="0" w:space="0" w:color="auto"/>
        <w:right w:val="none" w:sz="0" w:space="0" w:color="auto"/>
      </w:divBdr>
    </w:div>
    <w:div w:id="1956905066">
      <w:bodyDiv w:val="1"/>
      <w:marLeft w:val="0"/>
      <w:marRight w:val="0"/>
      <w:marTop w:val="0"/>
      <w:marBottom w:val="0"/>
      <w:divBdr>
        <w:top w:val="none" w:sz="0" w:space="0" w:color="auto"/>
        <w:left w:val="none" w:sz="0" w:space="0" w:color="auto"/>
        <w:bottom w:val="none" w:sz="0" w:space="0" w:color="auto"/>
        <w:right w:val="none" w:sz="0" w:space="0" w:color="auto"/>
      </w:divBdr>
    </w:div>
    <w:div w:id="1990094182">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13933875">
      <w:bodyDiv w:val="1"/>
      <w:marLeft w:val="0"/>
      <w:marRight w:val="0"/>
      <w:marTop w:val="0"/>
      <w:marBottom w:val="0"/>
      <w:divBdr>
        <w:top w:val="none" w:sz="0" w:space="0" w:color="auto"/>
        <w:left w:val="none" w:sz="0" w:space="0" w:color="auto"/>
        <w:bottom w:val="none" w:sz="0" w:space="0" w:color="auto"/>
        <w:right w:val="none" w:sz="0" w:space="0" w:color="auto"/>
      </w:divBdr>
    </w:div>
    <w:div w:id="2120447471">
      <w:bodyDiv w:val="1"/>
      <w:marLeft w:val="0"/>
      <w:marRight w:val="0"/>
      <w:marTop w:val="0"/>
      <w:marBottom w:val="0"/>
      <w:divBdr>
        <w:top w:val="none" w:sz="0" w:space="0" w:color="auto"/>
        <w:left w:val="none" w:sz="0" w:space="0" w:color="auto"/>
        <w:bottom w:val="none" w:sz="0" w:space="0" w:color="auto"/>
        <w:right w:val="none" w:sz="0" w:space="0" w:color="auto"/>
      </w:divBdr>
    </w:div>
    <w:div w:id="213944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png" Type="http://schemas.openxmlformats.org/officeDocument/2006/relationships/image"/>
<Relationship Id="rId13" Target="http://www.manpowergroup.es" TargetMode="External" Type="http://schemas.openxmlformats.org/officeDocument/2006/relationships/hyperlink"/>
<Relationship Id="rId14" Target="mailto:comunicacion.manpowergroup@havas.com" TargetMode="External" Type="http://schemas.openxmlformats.org/officeDocument/2006/relationships/hyperlink"/>
<Relationship Id="rId15" Target="mailto:gala.diaz@manpowergroup.es" TargetMode="External" Type="http://schemas.openxmlformats.org/officeDocument/2006/relationships/hyperlink"/>
<Relationship Id="rId16" Target="mailto:juan.gomez@manpowergroup.es" TargetMode="External" Type="http://schemas.openxmlformats.org/officeDocument/2006/relationships/hyperlink"/>
<Relationship Id="rId17" Target="header1.xml" Type="http://schemas.openxmlformats.org/officeDocument/2006/relationships/header"/>
<Relationship Id="rId18" Target="footer1.xml" Type="http://schemas.openxmlformats.org/officeDocument/2006/relationships/footer"/>
<Relationship Id="rId19" Target="footer2.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2.xml.rels><?xml version="1.0" encoding="UTF-8" standalone="no"?>
<Relationships xmlns="http://schemas.openxmlformats.org/package/2006/relationships">
<Relationship Id="rId1" Target="media/image4.png" Type="http://schemas.openxmlformats.org/officeDocument/2006/relationships/image"/>
</Relationships>

</file>

<file path=word/_rels/header1.xml.rels><?xml version="1.0" encoding="UTF-8" standalone="no"?>
<Relationships xmlns="http://schemas.openxmlformats.org/package/2006/relationships">
<Relationship Id="rId1" Target="media/image3.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231d71-97c5-42ff-aba6-a7b30cc7d16d" xsi:nil="true"/>
    <lcf76f155ced4ddcb4097134ff3c332f xmlns="f17ce223-d96d-4429-9827-08a58a24d6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B59D75210B3AB47BDB1DAE6E2AD3455" ma:contentTypeVersion="12" ma:contentTypeDescription="Crear nuevo documento." ma:contentTypeScope="" ma:versionID="3b6a0df731f9b291626601c022487cbc">
  <xsd:schema xmlns:xsd="http://www.w3.org/2001/XMLSchema" xmlns:xs="http://www.w3.org/2001/XMLSchema" xmlns:p="http://schemas.microsoft.com/office/2006/metadata/properties" xmlns:ns2="f17ce223-d96d-4429-9827-08a58a24d6e0" xmlns:ns3="df231d71-97c5-42ff-aba6-a7b30cc7d16d" targetNamespace="http://schemas.microsoft.com/office/2006/metadata/properties" ma:root="true" ma:fieldsID="87956ab23a915a09f5a92d2275241f1c" ns2:_="" ns3:_="">
    <xsd:import namespace="f17ce223-d96d-4429-9827-08a58a24d6e0"/>
    <xsd:import namespace="df231d71-97c5-42ff-aba6-a7b30cc7d1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ce223-d96d-4429-9827-08a58a24d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870de15-bcca-44b9-b7b5-b2794476cd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231d71-97c5-42ff-aba6-a7b30cc7d1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e8a38b-5614-4691-94ea-de797eccec08}" ma:internalName="TaxCatchAll" ma:showField="CatchAllData" ma:web="df231d71-97c5-42ff-aba6-a7b30cc7d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DA6B3-274C-4F32-A104-D68C3CC00F6F}">
  <ds:schemaRefs>
    <ds:schemaRef ds:uri="http://schemas.microsoft.com/sharepoint/v3/contenttype/forms"/>
  </ds:schemaRefs>
</ds:datastoreItem>
</file>

<file path=customXml/itemProps2.xml><?xml version="1.0" encoding="utf-8"?>
<ds:datastoreItem xmlns:ds="http://schemas.openxmlformats.org/officeDocument/2006/customXml" ds:itemID="{0CC8602F-F025-4150-9DCB-A7367B601CE0}">
  <ds:schemaRefs>
    <ds:schemaRef ds:uri="http://schemas.openxmlformats.org/package/2006/metadata/core-properties"/>
    <ds:schemaRef ds:uri="http://purl.org/dc/terms/"/>
    <ds:schemaRef ds:uri="http://purl.org/dc/elements/1.1/"/>
    <ds:schemaRef ds:uri="df231d71-97c5-42ff-aba6-a7b30cc7d16d"/>
    <ds:schemaRef ds:uri="http://schemas.microsoft.com/office/2006/documentManagement/types"/>
    <ds:schemaRef ds:uri="f17ce223-d96d-4429-9827-08a58a24d6e0"/>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81B2381-DC43-4FD8-9A95-B57BFF5B4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ce223-d96d-4429-9827-08a58a24d6e0"/>
    <ds:schemaRef ds:uri="df231d71-97c5-42ff-aba6-a7b30cc7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70DAA-9F0D-47BB-AA27-3D152BEA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1042</Words>
  <Characters>5733</Characters>
  <Application/>
  <DocSecurity>0</DocSecurity>
  <Lines>47</Lines>
  <Paragraphs>13</Paragraphs>
  <ScaleCrop>false</ScaleCrop>
  <Company/>
  <LinksUpToDate>false</LinksUpToDate>
  <CharactersWithSpaces>6762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