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5BE3" w14:textId="2C0A99A3" w:rsidR="003436D7" w:rsidRDefault="003436D7" w:rsidP="008B3FDB">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bookmarkStart w:id="0" w:name="_Hlk90222956"/>
      <w:bookmarkStart w:id="1" w:name="_Hlk90207554"/>
      <w:r w:rsidRPr="003436D7">
        <w:rPr>
          <w:rFonts w:ascii="Arial" w:eastAsia="Arial" w:hAnsi="Arial" w:cs="Arial"/>
          <w:b/>
          <w:color w:val="000000"/>
          <w:sz w:val="20"/>
          <w:szCs w:val="20"/>
          <w:u w:val="single"/>
        </w:rPr>
        <w:t xml:space="preserve">Estudio de Proyección de Empleo de ManpowerGroup para </w:t>
      </w:r>
      <w:r w:rsidR="00953877">
        <w:rPr>
          <w:rFonts w:ascii="Arial" w:eastAsia="Arial" w:hAnsi="Arial" w:cs="Arial"/>
          <w:b/>
          <w:color w:val="000000"/>
          <w:sz w:val="20"/>
          <w:szCs w:val="20"/>
          <w:u w:val="single"/>
        </w:rPr>
        <w:t>octubre</w:t>
      </w:r>
      <w:r w:rsidRPr="003436D7">
        <w:rPr>
          <w:rFonts w:ascii="Arial" w:eastAsia="Arial" w:hAnsi="Arial" w:cs="Arial"/>
          <w:b/>
          <w:color w:val="000000"/>
          <w:sz w:val="20"/>
          <w:szCs w:val="20"/>
          <w:u w:val="single"/>
        </w:rPr>
        <w:t>-</w:t>
      </w:r>
      <w:r w:rsidR="00953877">
        <w:rPr>
          <w:rFonts w:ascii="Arial" w:eastAsia="Arial" w:hAnsi="Arial" w:cs="Arial"/>
          <w:b/>
          <w:color w:val="000000"/>
          <w:sz w:val="20"/>
          <w:szCs w:val="20"/>
          <w:u w:val="single"/>
        </w:rPr>
        <w:t>diciembre</w:t>
      </w:r>
      <w:r w:rsidR="00CC3472" w:rsidRPr="003436D7">
        <w:rPr>
          <w:rFonts w:ascii="Arial" w:eastAsia="Arial" w:hAnsi="Arial" w:cs="Arial"/>
          <w:b/>
          <w:color w:val="000000"/>
          <w:sz w:val="20"/>
          <w:szCs w:val="20"/>
          <w:u w:val="single"/>
        </w:rPr>
        <w:t xml:space="preserve"> </w:t>
      </w:r>
      <w:r w:rsidR="00CC3472">
        <w:rPr>
          <w:rFonts w:ascii="Arial" w:eastAsia="Arial" w:hAnsi="Arial" w:cs="Arial"/>
          <w:b/>
          <w:color w:val="000000"/>
          <w:sz w:val="20"/>
          <w:szCs w:val="20"/>
          <w:u w:val="single"/>
        </w:rPr>
        <w:t>2025</w:t>
      </w:r>
    </w:p>
    <w:p w14:paraId="6E076C19" w14:textId="77777777" w:rsidR="002B2305" w:rsidRPr="003436D7" w:rsidRDefault="002B2305" w:rsidP="008B3FDB">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p>
    <w:p w14:paraId="25FF4733" w14:textId="2E355894" w:rsidR="00FE0A8D" w:rsidRDefault="00572170" w:rsidP="008B3FDB">
      <w:pPr>
        <w:tabs>
          <w:tab w:val="num" w:pos="720"/>
        </w:tabs>
        <w:spacing w:before="120" w:line="288" w:lineRule="auto"/>
        <w:jc w:val="center"/>
        <w:rPr>
          <w:rFonts w:ascii="Arial" w:eastAsia="Arial" w:hAnsi="Arial" w:cs="Arial"/>
          <w:b/>
          <w:bCs/>
          <w:sz w:val="36"/>
          <w:szCs w:val="36"/>
        </w:rPr>
      </w:pPr>
      <w:bookmarkStart w:id="2" w:name="_Hlk113557077"/>
      <w:r>
        <w:rPr>
          <w:rFonts w:ascii="Arial" w:eastAsia="Arial" w:hAnsi="Arial" w:cs="Arial"/>
          <w:b/>
          <w:bCs/>
          <w:sz w:val="36"/>
          <w:szCs w:val="36"/>
        </w:rPr>
        <w:t xml:space="preserve">Las empresas </w:t>
      </w:r>
      <w:r w:rsidR="008B3FDB">
        <w:rPr>
          <w:rFonts w:ascii="Arial" w:eastAsia="Arial" w:hAnsi="Arial" w:cs="Arial"/>
          <w:b/>
          <w:bCs/>
          <w:sz w:val="36"/>
          <w:szCs w:val="36"/>
        </w:rPr>
        <w:t xml:space="preserve">de </w:t>
      </w:r>
      <w:r w:rsidR="00266B5C">
        <w:rPr>
          <w:rFonts w:ascii="Arial" w:eastAsia="Arial" w:hAnsi="Arial" w:cs="Arial"/>
          <w:b/>
          <w:bCs/>
          <w:sz w:val="36"/>
          <w:szCs w:val="36"/>
        </w:rPr>
        <w:t>Energía y suministros</w:t>
      </w:r>
      <w:r w:rsidR="008B3FDB">
        <w:rPr>
          <w:rFonts w:ascii="Arial" w:eastAsia="Arial" w:hAnsi="Arial" w:cs="Arial"/>
          <w:b/>
          <w:bCs/>
          <w:sz w:val="36"/>
          <w:szCs w:val="36"/>
        </w:rPr>
        <w:t xml:space="preserve"> </w:t>
      </w:r>
      <w:r w:rsidR="00953877">
        <w:rPr>
          <w:rFonts w:ascii="Arial" w:eastAsia="Arial" w:hAnsi="Arial" w:cs="Arial"/>
          <w:b/>
          <w:bCs/>
          <w:sz w:val="36"/>
          <w:szCs w:val="36"/>
        </w:rPr>
        <w:t xml:space="preserve">caen casi 30 puntos porcentuales en expectativas de </w:t>
      </w:r>
      <w:r w:rsidR="00C004B0" w:rsidRPr="561974CA">
        <w:rPr>
          <w:rFonts w:ascii="Arial" w:eastAsia="Arial" w:hAnsi="Arial" w:cs="Arial"/>
          <w:b/>
          <w:bCs/>
          <w:sz w:val="36"/>
          <w:szCs w:val="36"/>
        </w:rPr>
        <w:t>generación de empleo</w:t>
      </w:r>
      <w:r w:rsidR="00953877">
        <w:rPr>
          <w:rFonts w:ascii="Arial" w:eastAsia="Arial" w:hAnsi="Arial" w:cs="Arial"/>
          <w:b/>
          <w:bCs/>
          <w:sz w:val="36"/>
          <w:szCs w:val="36"/>
        </w:rPr>
        <w:t xml:space="preserve"> con respecto </w:t>
      </w:r>
      <w:r w:rsidR="00953877" w:rsidRPr="561974CA">
        <w:rPr>
          <w:rFonts w:ascii="Arial" w:eastAsia="Arial" w:hAnsi="Arial" w:cs="Arial"/>
          <w:b/>
          <w:bCs/>
          <w:sz w:val="36"/>
          <w:szCs w:val="36"/>
        </w:rPr>
        <w:t>a</w:t>
      </w:r>
      <w:r w:rsidR="06EEA268" w:rsidRPr="561974CA">
        <w:rPr>
          <w:rFonts w:ascii="Arial" w:eastAsia="Arial" w:hAnsi="Arial" w:cs="Arial"/>
          <w:b/>
          <w:bCs/>
          <w:sz w:val="36"/>
          <w:szCs w:val="36"/>
        </w:rPr>
        <w:t xml:space="preserve"> 2024</w:t>
      </w:r>
    </w:p>
    <w:p w14:paraId="16E0517D" w14:textId="61D9FE2E" w:rsidR="00C4624D" w:rsidRPr="00C4624D" w:rsidRDefault="00C4624D" w:rsidP="008B3FDB">
      <w:pPr>
        <w:spacing w:before="120" w:line="288" w:lineRule="auto"/>
        <w:jc w:val="both"/>
        <w:rPr>
          <w:rFonts w:ascii="Arial" w:eastAsia="Arial" w:hAnsi="Arial" w:cs="Arial"/>
          <w:b/>
          <w:sz w:val="23"/>
          <w:szCs w:val="23"/>
        </w:rPr>
      </w:pPr>
    </w:p>
    <w:p w14:paraId="485B455A" w14:textId="177780D6" w:rsidR="00FB4490" w:rsidRPr="00FB4490" w:rsidRDefault="00FB4490" w:rsidP="789D2279">
      <w:pPr>
        <w:pStyle w:val="Prrafodelista"/>
        <w:numPr>
          <w:ilvl w:val="0"/>
          <w:numId w:val="7"/>
        </w:numPr>
        <w:spacing w:before="120" w:line="288" w:lineRule="auto"/>
        <w:jc w:val="both"/>
        <w:rPr>
          <w:rFonts w:ascii="Arial" w:eastAsia="Arial" w:hAnsi="Arial" w:cs="Arial"/>
          <w:b/>
          <w:sz w:val="23"/>
          <w:szCs w:val="23"/>
        </w:rPr>
      </w:pPr>
      <w:r>
        <w:rPr>
          <w:rFonts w:ascii="Arial" w:eastAsia="Arial" w:hAnsi="Arial" w:cs="Arial"/>
          <w:b/>
          <w:sz w:val="23"/>
          <w:szCs w:val="23"/>
        </w:rPr>
        <w:t xml:space="preserve">Aunque el sector mejora 12 puntos respecto al trimestre anterior, continúa siendo el más debilitado con </w:t>
      </w:r>
      <w:r w:rsidR="1753E28B" w:rsidRPr="789D2279">
        <w:rPr>
          <w:rFonts w:ascii="Arial" w:eastAsia="Arial" w:hAnsi="Arial" w:cs="Arial"/>
          <w:b/>
          <w:bCs/>
          <w:sz w:val="23"/>
          <w:szCs w:val="23"/>
        </w:rPr>
        <w:t>previsione</w:t>
      </w:r>
      <w:r w:rsidRPr="789D2279">
        <w:rPr>
          <w:rFonts w:ascii="Arial" w:eastAsia="Arial" w:hAnsi="Arial" w:cs="Arial"/>
          <w:b/>
          <w:bCs/>
          <w:sz w:val="23"/>
          <w:szCs w:val="23"/>
        </w:rPr>
        <w:t>s</w:t>
      </w:r>
      <w:r w:rsidR="31F23AC6" w:rsidRPr="789D2279">
        <w:rPr>
          <w:rFonts w:ascii="Arial" w:eastAsia="Arial" w:hAnsi="Arial" w:cs="Arial"/>
          <w:b/>
          <w:bCs/>
          <w:sz w:val="23"/>
          <w:szCs w:val="23"/>
        </w:rPr>
        <w:t xml:space="preserve"> de </w:t>
      </w:r>
      <w:r w:rsidR="74424E94" w:rsidRPr="789D2279">
        <w:rPr>
          <w:rFonts w:ascii="Arial" w:eastAsia="Arial" w:hAnsi="Arial" w:cs="Arial"/>
          <w:b/>
          <w:bCs/>
          <w:sz w:val="23"/>
          <w:szCs w:val="23"/>
        </w:rPr>
        <w:t>contratación</w:t>
      </w:r>
      <w:r>
        <w:rPr>
          <w:rFonts w:ascii="Arial" w:eastAsia="Arial" w:hAnsi="Arial" w:cs="Arial"/>
          <w:b/>
          <w:sz w:val="23"/>
          <w:szCs w:val="23"/>
        </w:rPr>
        <w:t xml:space="preserve"> de -3%</w:t>
      </w:r>
    </w:p>
    <w:p w14:paraId="3B4B87C3" w14:textId="0CC61470" w:rsidR="00572170" w:rsidRPr="00266B5C" w:rsidRDefault="00266B5C" w:rsidP="73A5497D">
      <w:pPr>
        <w:pStyle w:val="Prrafodelista"/>
        <w:numPr>
          <w:ilvl w:val="0"/>
          <w:numId w:val="7"/>
        </w:numPr>
        <w:spacing w:before="120" w:line="288" w:lineRule="auto"/>
        <w:jc w:val="both"/>
        <w:rPr>
          <w:rFonts w:ascii="Arial" w:eastAsia="Arial" w:hAnsi="Arial" w:cs="Arial"/>
          <w:b/>
          <w:sz w:val="23"/>
          <w:szCs w:val="23"/>
        </w:rPr>
      </w:pPr>
      <w:r>
        <w:rPr>
          <w:rFonts w:ascii="Arial" w:eastAsia="Arial" w:hAnsi="Arial" w:cs="Arial"/>
          <w:b/>
          <w:bCs/>
          <w:sz w:val="23"/>
          <w:szCs w:val="23"/>
        </w:rPr>
        <w:t xml:space="preserve">Los sectores </w:t>
      </w:r>
      <w:r w:rsidR="466384D6" w:rsidRPr="73A5497D">
        <w:rPr>
          <w:rFonts w:ascii="Arial" w:eastAsia="Arial" w:hAnsi="Arial" w:cs="Arial"/>
          <w:b/>
          <w:bCs/>
          <w:sz w:val="23"/>
          <w:szCs w:val="23"/>
        </w:rPr>
        <w:t>con</w:t>
      </w:r>
      <w:r>
        <w:rPr>
          <w:rFonts w:ascii="Arial" w:eastAsia="Arial" w:hAnsi="Arial" w:cs="Arial"/>
          <w:b/>
          <w:bCs/>
          <w:sz w:val="23"/>
          <w:szCs w:val="23"/>
        </w:rPr>
        <w:t xml:space="preserve"> mejores previsiones </w:t>
      </w:r>
      <w:r w:rsidR="466384D6" w:rsidRPr="73A5497D">
        <w:rPr>
          <w:rFonts w:ascii="Arial" w:eastAsia="Arial" w:hAnsi="Arial" w:cs="Arial"/>
          <w:b/>
          <w:bCs/>
          <w:sz w:val="23"/>
          <w:szCs w:val="23"/>
        </w:rPr>
        <w:t>de generación de empleo</w:t>
      </w:r>
      <w:r>
        <w:rPr>
          <w:rFonts w:ascii="Arial" w:eastAsia="Arial" w:hAnsi="Arial" w:cs="Arial"/>
          <w:b/>
          <w:bCs/>
          <w:sz w:val="23"/>
          <w:szCs w:val="23"/>
        </w:rPr>
        <w:t xml:space="preserve"> son el </w:t>
      </w:r>
      <w:r w:rsidR="009E4003">
        <w:rPr>
          <w:rFonts w:ascii="Arial" w:eastAsia="Arial" w:hAnsi="Arial" w:cs="Arial"/>
          <w:b/>
          <w:bCs/>
          <w:sz w:val="23"/>
          <w:szCs w:val="23"/>
        </w:rPr>
        <w:t>T</w:t>
      </w:r>
      <w:r>
        <w:rPr>
          <w:rFonts w:ascii="Arial" w:eastAsia="Arial" w:hAnsi="Arial" w:cs="Arial"/>
          <w:b/>
          <w:bCs/>
          <w:sz w:val="23"/>
          <w:szCs w:val="23"/>
        </w:rPr>
        <w:t>ecnológico (3</w:t>
      </w:r>
      <w:r w:rsidR="00953877">
        <w:rPr>
          <w:rFonts w:ascii="Arial" w:eastAsia="Arial" w:hAnsi="Arial" w:cs="Arial"/>
          <w:b/>
          <w:bCs/>
          <w:sz w:val="23"/>
          <w:szCs w:val="23"/>
        </w:rPr>
        <w:t>1</w:t>
      </w:r>
      <w:r>
        <w:rPr>
          <w:rFonts w:ascii="Arial" w:eastAsia="Arial" w:hAnsi="Arial" w:cs="Arial"/>
          <w:b/>
          <w:bCs/>
          <w:sz w:val="23"/>
          <w:szCs w:val="23"/>
        </w:rPr>
        <w:t xml:space="preserve">%), </w:t>
      </w:r>
      <w:r w:rsidRPr="00181781">
        <w:rPr>
          <w:rFonts w:ascii="Arial" w:eastAsia="Arial" w:hAnsi="Arial" w:cs="Arial"/>
          <w:b/>
          <w:bCs/>
          <w:sz w:val="23"/>
          <w:szCs w:val="23"/>
        </w:rPr>
        <w:t>Transporte, logística y automoción</w:t>
      </w:r>
      <w:r>
        <w:rPr>
          <w:rFonts w:ascii="Arial" w:eastAsia="Arial" w:hAnsi="Arial" w:cs="Arial"/>
          <w:b/>
          <w:bCs/>
          <w:sz w:val="23"/>
          <w:szCs w:val="23"/>
        </w:rPr>
        <w:t xml:space="preserve"> (2</w:t>
      </w:r>
      <w:r w:rsidR="00953877">
        <w:rPr>
          <w:rFonts w:ascii="Arial" w:eastAsia="Arial" w:hAnsi="Arial" w:cs="Arial"/>
          <w:b/>
          <w:bCs/>
          <w:sz w:val="23"/>
          <w:szCs w:val="23"/>
        </w:rPr>
        <w:t>5</w:t>
      </w:r>
      <w:r>
        <w:rPr>
          <w:rFonts w:ascii="Arial" w:eastAsia="Arial" w:hAnsi="Arial" w:cs="Arial"/>
          <w:b/>
          <w:bCs/>
          <w:sz w:val="23"/>
          <w:szCs w:val="23"/>
        </w:rPr>
        <w:t>%)</w:t>
      </w:r>
      <w:r w:rsidR="00953877">
        <w:rPr>
          <w:rFonts w:ascii="Arial" w:eastAsia="Arial" w:hAnsi="Arial" w:cs="Arial"/>
          <w:b/>
          <w:bCs/>
          <w:sz w:val="23"/>
          <w:szCs w:val="23"/>
        </w:rPr>
        <w:t xml:space="preserve"> y Publicidad y comunicación (23%)</w:t>
      </w:r>
    </w:p>
    <w:p w14:paraId="21C035A3" w14:textId="1FE63989" w:rsidR="00FD7C01" w:rsidRPr="00FD7C01" w:rsidRDefault="004410BF" w:rsidP="2A5C701E">
      <w:pPr>
        <w:pStyle w:val="Prrafodelista"/>
        <w:numPr>
          <w:ilvl w:val="0"/>
          <w:numId w:val="7"/>
        </w:numPr>
        <w:spacing w:before="120" w:line="288" w:lineRule="auto"/>
        <w:jc w:val="both"/>
        <w:rPr>
          <w:rFonts w:ascii="Arial" w:eastAsia="Arial" w:hAnsi="Arial" w:cs="Arial"/>
          <w:b/>
          <w:sz w:val="23"/>
          <w:szCs w:val="23"/>
        </w:rPr>
      </w:pPr>
      <w:r>
        <w:rPr>
          <w:rFonts w:ascii="Arial" w:eastAsia="Arial" w:hAnsi="Arial" w:cs="Arial"/>
          <w:b/>
          <w:bCs/>
          <w:sz w:val="23"/>
          <w:szCs w:val="23"/>
        </w:rPr>
        <w:t>A nivel global, las empresas del sector suben 12 puntos con respecto al mismo periodo del año anterior</w:t>
      </w:r>
    </w:p>
    <w:p w14:paraId="56C67AEC" w14:textId="39F9084D" w:rsidR="0008597E" w:rsidRPr="004E249E" w:rsidRDefault="0008597E" w:rsidP="0008597E">
      <w:pPr>
        <w:spacing w:before="120" w:line="288" w:lineRule="auto"/>
        <w:jc w:val="center"/>
        <w:rPr>
          <w:rFonts w:ascii="Arial" w:eastAsia="Arial" w:hAnsi="Arial" w:cs="Arial"/>
          <w:b/>
          <w:sz w:val="23"/>
          <w:szCs w:val="23"/>
        </w:rPr>
      </w:pPr>
      <w:r w:rsidRPr="004E249E">
        <w:rPr>
          <w:rFonts w:ascii="Arial" w:eastAsia="Arial" w:hAnsi="Arial" w:cs="Arial"/>
          <w:bCs/>
          <w:noProof/>
          <w:sz w:val="22"/>
          <w:szCs w:val="22"/>
        </w:rPr>
        <w:drawing>
          <wp:inline distT="0" distB="0" distL="0" distR="0" wp14:anchorId="573F3577" wp14:editId="6437565D">
            <wp:extent cx="5780405" cy="2714471"/>
            <wp:effectExtent l="0" t="0" r="0" b="0"/>
            <wp:docPr id="1189994055"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2115" name="Imagen 1" descr="Gráfico&#10;&#10;El contenido generado por IA puede ser incorrecto."/>
                    <pic:cNvPicPr/>
                  </pic:nvPicPr>
                  <pic:blipFill rotWithShape="1">
                    <a:blip r:embed="rId11"/>
                    <a:srcRect t="10322"/>
                    <a:stretch>
                      <a:fillRect/>
                    </a:stretch>
                  </pic:blipFill>
                  <pic:spPr bwMode="auto">
                    <a:xfrm>
                      <a:off x="0" y="0"/>
                      <a:ext cx="5796355" cy="2721961"/>
                    </a:xfrm>
                    <a:prstGeom prst="rect">
                      <a:avLst/>
                    </a:prstGeom>
                    <a:ln>
                      <a:noFill/>
                    </a:ln>
                    <a:extLst>
                      <a:ext uri="{53640926-AAD7-44D8-BBD7-CCE9431645EC}">
                        <a14:shadowObscured xmlns:a14="http://schemas.microsoft.com/office/drawing/2010/main"/>
                      </a:ext>
                    </a:extLst>
                  </pic:spPr>
                </pic:pic>
              </a:graphicData>
            </a:graphic>
          </wp:inline>
        </w:drawing>
      </w:r>
    </w:p>
    <w:p w14:paraId="2694A52C" w14:textId="2C448179" w:rsidR="0008597E" w:rsidRPr="0008597E" w:rsidRDefault="0008597E" w:rsidP="0008597E">
      <w:pPr>
        <w:spacing w:before="120" w:line="288" w:lineRule="auto"/>
        <w:jc w:val="right"/>
        <w:rPr>
          <w:rFonts w:ascii="Arial" w:eastAsia="Arial" w:hAnsi="Arial" w:cs="Arial"/>
          <w:sz w:val="14"/>
          <w:szCs w:val="14"/>
        </w:rPr>
      </w:pPr>
      <w:r w:rsidRPr="004E249E">
        <w:rPr>
          <w:rFonts w:ascii="Arial" w:eastAsiaTheme="minorEastAsia" w:hAnsi="Arial" w:cs="Arial"/>
          <w:b/>
          <w:bCs/>
          <w:i/>
          <w:iCs/>
          <w:sz w:val="14"/>
          <w:szCs w:val="14"/>
          <w:lang w:eastAsia="zh-CN"/>
        </w:rPr>
        <w:t>Intención de contratación por sectores en España</w:t>
      </w:r>
    </w:p>
    <w:bookmarkEnd w:id="2"/>
    <w:p w14:paraId="7DE09159" w14:textId="327F3ABC" w:rsidR="004410BF" w:rsidRDefault="00196895" w:rsidP="0011351B">
      <w:pPr>
        <w:spacing w:before="120" w:line="288" w:lineRule="auto"/>
        <w:jc w:val="both"/>
        <w:rPr>
          <w:rFonts w:ascii="Arial" w:eastAsia="Arial" w:hAnsi="Arial" w:cs="Arial"/>
          <w:sz w:val="22"/>
          <w:szCs w:val="22"/>
        </w:rPr>
      </w:pPr>
      <w:r w:rsidRPr="00584891">
        <w:rPr>
          <w:rFonts w:ascii="Arial" w:eastAsia="Arial" w:hAnsi="Arial" w:cs="Arial"/>
          <w:b/>
          <w:sz w:val="22"/>
          <w:szCs w:val="22"/>
        </w:rPr>
        <w:t xml:space="preserve">Madrid, </w:t>
      </w:r>
      <w:r w:rsidR="002A60B9">
        <w:rPr>
          <w:rFonts w:ascii="Arial" w:eastAsia="Arial" w:hAnsi="Arial" w:cs="Arial"/>
          <w:b/>
          <w:bCs/>
          <w:sz w:val="22"/>
          <w:szCs w:val="22"/>
        </w:rPr>
        <w:t>24</w:t>
      </w:r>
      <w:r w:rsidR="00D7168F">
        <w:rPr>
          <w:rFonts w:ascii="Arial" w:eastAsia="Arial" w:hAnsi="Arial" w:cs="Arial"/>
          <w:b/>
          <w:sz w:val="22"/>
          <w:szCs w:val="22"/>
        </w:rPr>
        <w:t xml:space="preserve"> </w:t>
      </w:r>
      <w:r w:rsidRPr="00584891">
        <w:rPr>
          <w:rFonts w:ascii="Arial" w:eastAsia="Arial" w:hAnsi="Arial" w:cs="Arial"/>
          <w:b/>
          <w:sz w:val="22"/>
          <w:szCs w:val="22"/>
        </w:rPr>
        <w:t xml:space="preserve">de </w:t>
      </w:r>
      <w:r w:rsidR="00953877">
        <w:rPr>
          <w:rFonts w:ascii="Arial" w:eastAsia="Arial" w:hAnsi="Arial" w:cs="Arial"/>
          <w:b/>
          <w:sz w:val="22"/>
          <w:szCs w:val="22"/>
        </w:rPr>
        <w:t>septiembre</w:t>
      </w:r>
      <w:r w:rsidR="00D7168F" w:rsidRPr="00584891">
        <w:rPr>
          <w:rFonts w:ascii="Arial" w:eastAsia="Arial" w:hAnsi="Arial" w:cs="Arial"/>
          <w:b/>
          <w:sz w:val="22"/>
          <w:szCs w:val="22"/>
        </w:rPr>
        <w:t xml:space="preserve"> </w:t>
      </w:r>
      <w:r w:rsidRPr="00584891">
        <w:rPr>
          <w:rFonts w:ascii="Arial" w:eastAsia="Arial" w:hAnsi="Arial" w:cs="Arial"/>
          <w:b/>
          <w:sz w:val="22"/>
          <w:szCs w:val="22"/>
        </w:rPr>
        <w:t>de 202</w:t>
      </w:r>
      <w:r w:rsidR="00AB7073">
        <w:rPr>
          <w:rFonts w:ascii="Arial" w:eastAsia="Arial" w:hAnsi="Arial" w:cs="Arial"/>
          <w:b/>
          <w:sz w:val="22"/>
          <w:szCs w:val="22"/>
        </w:rPr>
        <w:t>5</w:t>
      </w:r>
      <w:r w:rsidRPr="00584891">
        <w:rPr>
          <w:rFonts w:ascii="Arial" w:eastAsia="Arial" w:hAnsi="Arial" w:cs="Arial"/>
          <w:b/>
          <w:sz w:val="22"/>
          <w:szCs w:val="22"/>
        </w:rPr>
        <w:t>.-</w:t>
      </w:r>
      <w:bookmarkStart w:id="3" w:name="_Hlk113557102"/>
      <w:r w:rsidRPr="00584891">
        <w:rPr>
          <w:rFonts w:ascii="Arial" w:eastAsia="Arial" w:hAnsi="Arial" w:cs="Arial"/>
          <w:b/>
          <w:sz w:val="22"/>
          <w:szCs w:val="22"/>
        </w:rPr>
        <w:t xml:space="preserve"> </w:t>
      </w:r>
      <w:bookmarkStart w:id="4" w:name="_Hlk137140302"/>
      <w:r w:rsidR="0011351B" w:rsidRPr="0011351B">
        <w:rPr>
          <w:rFonts w:ascii="Arial" w:eastAsia="Arial" w:hAnsi="Arial" w:cs="Arial"/>
          <w:sz w:val="22"/>
          <w:szCs w:val="22"/>
        </w:rPr>
        <w:t xml:space="preserve">Las empresas de </w:t>
      </w:r>
      <w:r w:rsidR="0011351B" w:rsidRPr="0011351B">
        <w:rPr>
          <w:rFonts w:ascii="Arial" w:eastAsia="Arial" w:hAnsi="Arial" w:cs="Arial"/>
          <w:b/>
          <w:bCs/>
          <w:sz w:val="22"/>
          <w:szCs w:val="22"/>
        </w:rPr>
        <w:t xml:space="preserve">Energía y </w:t>
      </w:r>
      <w:r w:rsidR="009E4003">
        <w:rPr>
          <w:rFonts w:ascii="Arial" w:eastAsia="Arial" w:hAnsi="Arial" w:cs="Arial"/>
          <w:b/>
          <w:bCs/>
          <w:sz w:val="22"/>
          <w:szCs w:val="22"/>
        </w:rPr>
        <w:t>s</w:t>
      </w:r>
      <w:r w:rsidR="0011351B" w:rsidRPr="0011351B">
        <w:rPr>
          <w:rFonts w:ascii="Arial" w:eastAsia="Arial" w:hAnsi="Arial" w:cs="Arial"/>
          <w:b/>
          <w:bCs/>
          <w:sz w:val="22"/>
          <w:szCs w:val="22"/>
        </w:rPr>
        <w:t>uministros</w:t>
      </w:r>
      <w:r w:rsidR="0011351B" w:rsidRPr="0011351B">
        <w:rPr>
          <w:rFonts w:ascii="Arial" w:eastAsia="Arial" w:hAnsi="Arial" w:cs="Arial"/>
          <w:sz w:val="22"/>
          <w:szCs w:val="22"/>
        </w:rPr>
        <w:t xml:space="preserve"> presentan las peores previsiones de </w:t>
      </w:r>
      <w:r w:rsidR="0011351B" w:rsidRPr="344E570B">
        <w:rPr>
          <w:rFonts w:ascii="Arial" w:eastAsia="Arial" w:hAnsi="Arial" w:cs="Arial"/>
          <w:sz w:val="22"/>
          <w:szCs w:val="22"/>
        </w:rPr>
        <w:t>c</w:t>
      </w:r>
      <w:r w:rsidR="1936EB0A" w:rsidRPr="344E570B">
        <w:rPr>
          <w:rFonts w:ascii="Arial" w:eastAsia="Arial" w:hAnsi="Arial" w:cs="Arial"/>
          <w:sz w:val="22"/>
          <w:szCs w:val="22"/>
        </w:rPr>
        <w:t>reación de empleo</w:t>
      </w:r>
      <w:r w:rsidR="0011351B" w:rsidRPr="0011351B">
        <w:rPr>
          <w:rFonts w:ascii="Arial" w:eastAsia="Arial" w:hAnsi="Arial" w:cs="Arial"/>
          <w:sz w:val="22"/>
          <w:szCs w:val="22"/>
        </w:rPr>
        <w:t xml:space="preserve"> en España para el </w:t>
      </w:r>
      <w:r w:rsidR="00953877">
        <w:rPr>
          <w:rFonts w:ascii="Arial" w:eastAsia="Arial" w:hAnsi="Arial" w:cs="Arial"/>
          <w:sz w:val="22"/>
          <w:szCs w:val="22"/>
        </w:rPr>
        <w:t>cuarto</w:t>
      </w:r>
      <w:r w:rsidR="0011351B" w:rsidRPr="0011351B">
        <w:rPr>
          <w:rFonts w:ascii="Arial" w:eastAsia="Arial" w:hAnsi="Arial" w:cs="Arial"/>
          <w:sz w:val="22"/>
          <w:szCs w:val="22"/>
        </w:rPr>
        <w:t xml:space="preserve"> trimestre de 2025, con una </w:t>
      </w:r>
      <w:r w:rsidR="0011351B" w:rsidRPr="00080697">
        <w:rPr>
          <w:rFonts w:ascii="Arial" w:eastAsia="Arial" w:hAnsi="Arial" w:cs="Arial"/>
          <w:sz w:val="22"/>
          <w:szCs w:val="22"/>
        </w:rPr>
        <w:t>estimación neta del -</w:t>
      </w:r>
      <w:r w:rsidR="00F42B56" w:rsidRPr="00080697">
        <w:rPr>
          <w:rFonts w:ascii="Arial" w:eastAsia="Arial" w:hAnsi="Arial" w:cs="Arial"/>
          <w:sz w:val="22"/>
          <w:szCs w:val="22"/>
        </w:rPr>
        <w:t>3</w:t>
      </w:r>
      <w:r w:rsidR="0011351B" w:rsidRPr="00080697">
        <w:rPr>
          <w:rFonts w:ascii="Arial" w:eastAsia="Arial" w:hAnsi="Arial" w:cs="Arial"/>
          <w:sz w:val="22"/>
          <w:szCs w:val="22"/>
        </w:rPr>
        <w:t>%, según</w:t>
      </w:r>
      <w:r w:rsidR="0011351B" w:rsidRPr="0011351B">
        <w:rPr>
          <w:rFonts w:ascii="Arial" w:eastAsia="Arial" w:hAnsi="Arial" w:cs="Arial"/>
          <w:sz w:val="22"/>
          <w:szCs w:val="22"/>
        </w:rPr>
        <w:t xml:space="preserve"> los datos recogidos en el </w:t>
      </w:r>
      <w:r w:rsidR="0011351B" w:rsidRPr="0011351B">
        <w:rPr>
          <w:rFonts w:ascii="Arial" w:eastAsia="Arial" w:hAnsi="Arial" w:cs="Arial"/>
          <w:b/>
          <w:bCs/>
          <w:sz w:val="22"/>
          <w:szCs w:val="22"/>
        </w:rPr>
        <w:t>Estudio de Proyección de Empleo de ManpowerGroup</w:t>
      </w:r>
      <w:r w:rsidR="0011351B" w:rsidRPr="0011351B">
        <w:rPr>
          <w:rFonts w:ascii="Arial" w:eastAsia="Arial" w:hAnsi="Arial" w:cs="Arial"/>
          <w:sz w:val="22"/>
          <w:szCs w:val="22"/>
        </w:rPr>
        <w:t xml:space="preserve">. Esta cifra representa una </w:t>
      </w:r>
      <w:r w:rsidR="004410BF">
        <w:rPr>
          <w:rFonts w:ascii="Arial" w:eastAsia="Arial" w:hAnsi="Arial" w:cs="Arial"/>
          <w:sz w:val="22"/>
          <w:szCs w:val="22"/>
        </w:rPr>
        <w:t>mejora de 12 puntos porcentuales con respecto al trimestre</w:t>
      </w:r>
      <w:r w:rsidR="00080697">
        <w:rPr>
          <w:rFonts w:ascii="Arial" w:eastAsia="Arial" w:hAnsi="Arial" w:cs="Arial"/>
          <w:sz w:val="22"/>
          <w:szCs w:val="22"/>
        </w:rPr>
        <w:t xml:space="preserve"> anterior</w:t>
      </w:r>
      <w:r w:rsidR="004410BF">
        <w:rPr>
          <w:rFonts w:ascii="Arial" w:eastAsia="Arial" w:hAnsi="Arial" w:cs="Arial"/>
          <w:sz w:val="22"/>
          <w:szCs w:val="22"/>
        </w:rPr>
        <w:t xml:space="preserve">, pero una caída de 27 </w:t>
      </w:r>
      <w:r w:rsidR="00080697">
        <w:rPr>
          <w:rFonts w:ascii="Arial" w:eastAsia="Arial" w:hAnsi="Arial" w:cs="Arial"/>
          <w:sz w:val="22"/>
          <w:szCs w:val="22"/>
        </w:rPr>
        <w:t xml:space="preserve">puntos </w:t>
      </w:r>
      <w:r w:rsidR="004410BF">
        <w:rPr>
          <w:rFonts w:ascii="Arial" w:eastAsia="Arial" w:hAnsi="Arial" w:cs="Arial"/>
          <w:sz w:val="22"/>
          <w:szCs w:val="22"/>
        </w:rPr>
        <w:t>en comparación con el mismo periodo del año anterior.</w:t>
      </w:r>
    </w:p>
    <w:p w14:paraId="1E360277" w14:textId="68440E59" w:rsidR="004410BF" w:rsidRPr="0011351B" w:rsidRDefault="0011351B" w:rsidP="0011351B">
      <w:pPr>
        <w:spacing w:before="120" w:line="288" w:lineRule="auto"/>
        <w:jc w:val="both"/>
        <w:rPr>
          <w:rFonts w:ascii="Arial" w:eastAsia="Arial" w:hAnsi="Arial" w:cs="Arial"/>
          <w:bCs/>
          <w:sz w:val="22"/>
          <w:szCs w:val="22"/>
        </w:rPr>
      </w:pPr>
      <w:r w:rsidRPr="0011351B">
        <w:rPr>
          <w:rFonts w:ascii="Arial" w:eastAsia="Arial" w:hAnsi="Arial" w:cs="Arial"/>
          <w:bCs/>
          <w:sz w:val="22"/>
          <w:szCs w:val="22"/>
        </w:rPr>
        <w:t>En cuanto a las expectativas de empleo</w:t>
      </w:r>
      <w:r w:rsidR="004410BF">
        <w:rPr>
          <w:rFonts w:ascii="Arial" w:eastAsia="Arial" w:hAnsi="Arial" w:cs="Arial"/>
          <w:bCs/>
          <w:sz w:val="22"/>
          <w:szCs w:val="22"/>
        </w:rPr>
        <w:t xml:space="preserve"> del sector</w:t>
      </w:r>
      <w:r w:rsidRPr="0011351B">
        <w:rPr>
          <w:rFonts w:ascii="Arial" w:eastAsia="Arial" w:hAnsi="Arial" w:cs="Arial"/>
          <w:bCs/>
          <w:sz w:val="22"/>
          <w:szCs w:val="22"/>
        </w:rPr>
        <w:t xml:space="preserve">, un </w:t>
      </w:r>
      <w:r w:rsidR="00EF14B4">
        <w:rPr>
          <w:rFonts w:ascii="Arial" w:eastAsia="Arial" w:hAnsi="Arial" w:cs="Arial"/>
          <w:bCs/>
          <w:sz w:val="22"/>
          <w:szCs w:val="22"/>
        </w:rPr>
        <w:t>26</w:t>
      </w:r>
      <w:r w:rsidRPr="0011351B">
        <w:rPr>
          <w:rFonts w:ascii="Arial" w:eastAsia="Arial" w:hAnsi="Arial" w:cs="Arial"/>
          <w:bCs/>
          <w:sz w:val="22"/>
          <w:szCs w:val="22"/>
        </w:rPr>
        <w:t xml:space="preserve">% de las compañías prevé incrementar su personal, mientras que un </w:t>
      </w:r>
      <w:r w:rsidR="00EF14B4">
        <w:rPr>
          <w:rFonts w:ascii="Arial" w:eastAsia="Arial" w:hAnsi="Arial" w:cs="Arial"/>
          <w:bCs/>
          <w:sz w:val="22"/>
          <w:szCs w:val="22"/>
        </w:rPr>
        <w:t>45</w:t>
      </w:r>
      <w:r w:rsidRPr="0011351B">
        <w:rPr>
          <w:rFonts w:ascii="Arial" w:eastAsia="Arial" w:hAnsi="Arial" w:cs="Arial"/>
          <w:bCs/>
          <w:sz w:val="22"/>
          <w:szCs w:val="22"/>
        </w:rPr>
        <w:t xml:space="preserve">% planea mantener su actual volumen de </w:t>
      </w:r>
      <w:r w:rsidRPr="0011351B">
        <w:rPr>
          <w:rFonts w:ascii="Arial" w:eastAsia="Arial" w:hAnsi="Arial" w:cs="Arial"/>
          <w:bCs/>
          <w:sz w:val="22"/>
          <w:szCs w:val="22"/>
        </w:rPr>
        <w:lastRenderedPageBreak/>
        <w:t xml:space="preserve">trabajadores. </w:t>
      </w:r>
      <w:r w:rsidR="00EF14B4">
        <w:rPr>
          <w:rFonts w:ascii="Arial" w:eastAsia="Arial" w:hAnsi="Arial" w:cs="Arial"/>
          <w:bCs/>
          <w:sz w:val="22"/>
          <w:szCs w:val="22"/>
        </w:rPr>
        <w:t>Por otro lado</w:t>
      </w:r>
      <w:r w:rsidRPr="0011351B">
        <w:rPr>
          <w:rFonts w:ascii="Arial" w:eastAsia="Arial" w:hAnsi="Arial" w:cs="Arial"/>
          <w:bCs/>
          <w:sz w:val="22"/>
          <w:szCs w:val="22"/>
        </w:rPr>
        <w:t xml:space="preserve">, el </w:t>
      </w:r>
      <w:r w:rsidR="00EF14B4">
        <w:rPr>
          <w:rFonts w:ascii="Arial" w:eastAsia="Arial" w:hAnsi="Arial" w:cs="Arial"/>
          <w:bCs/>
          <w:sz w:val="22"/>
          <w:szCs w:val="22"/>
        </w:rPr>
        <w:t>29</w:t>
      </w:r>
      <w:r w:rsidRPr="0011351B">
        <w:rPr>
          <w:rFonts w:ascii="Arial" w:eastAsia="Arial" w:hAnsi="Arial" w:cs="Arial"/>
          <w:bCs/>
          <w:sz w:val="22"/>
          <w:szCs w:val="22"/>
        </w:rPr>
        <w:t xml:space="preserve">% anticipa una reducción en sus plantillas para el periodo comprendido entre </w:t>
      </w:r>
      <w:r w:rsidR="00EF14B4">
        <w:rPr>
          <w:rFonts w:ascii="Arial" w:eastAsia="Arial" w:hAnsi="Arial" w:cs="Arial"/>
          <w:bCs/>
          <w:sz w:val="22"/>
          <w:szCs w:val="22"/>
        </w:rPr>
        <w:t>octubre</w:t>
      </w:r>
      <w:r w:rsidRPr="0011351B">
        <w:rPr>
          <w:rFonts w:ascii="Arial" w:eastAsia="Arial" w:hAnsi="Arial" w:cs="Arial"/>
          <w:bCs/>
          <w:sz w:val="22"/>
          <w:szCs w:val="22"/>
        </w:rPr>
        <w:t xml:space="preserve"> y </w:t>
      </w:r>
      <w:r w:rsidR="00EF14B4">
        <w:rPr>
          <w:rFonts w:ascii="Arial" w:eastAsia="Arial" w:hAnsi="Arial" w:cs="Arial"/>
          <w:bCs/>
          <w:sz w:val="22"/>
          <w:szCs w:val="22"/>
        </w:rPr>
        <w:t>diciembre</w:t>
      </w:r>
      <w:r w:rsidRPr="0011351B">
        <w:rPr>
          <w:rFonts w:ascii="Arial" w:eastAsia="Arial" w:hAnsi="Arial" w:cs="Arial"/>
          <w:bCs/>
          <w:sz w:val="22"/>
          <w:szCs w:val="22"/>
        </w:rPr>
        <w:t xml:space="preserve"> de 2025.</w:t>
      </w:r>
    </w:p>
    <w:p w14:paraId="686F33E5" w14:textId="26E1BDD4" w:rsidR="0011351B" w:rsidRDefault="00B2218B" w:rsidP="4C69C90D">
      <w:pPr>
        <w:spacing w:before="120" w:line="288" w:lineRule="auto"/>
        <w:jc w:val="both"/>
        <w:rPr>
          <w:rFonts w:ascii="Arial" w:eastAsia="Arial" w:hAnsi="Arial" w:cs="Arial"/>
          <w:sz w:val="22"/>
          <w:szCs w:val="22"/>
        </w:rPr>
      </w:pPr>
      <w:r w:rsidRPr="4C69C90D">
        <w:rPr>
          <w:rFonts w:ascii="Arial" w:eastAsia="Arial" w:hAnsi="Arial" w:cs="Arial"/>
          <w:b/>
          <w:bCs/>
          <w:sz w:val="22"/>
          <w:szCs w:val="22"/>
        </w:rPr>
        <w:t>C</w:t>
      </w:r>
      <w:r w:rsidR="1D6999A9" w:rsidRPr="4C69C90D">
        <w:rPr>
          <w:rFonts w:ascii="Arial" w:eastAsia="Arial" w:hAnsi="Arial" w:cs="Arial"/>
          <w:b/>
          <w:bCs/>
          <w:sz w:val="22"/>
          <w:szCs w:val="22"/>
        </w:rPr>
        <w:t xml:space="preserve">hema </w:t>
      </w:r>
      <w:r w:rsidRPr="4C69C90D">
        <w:rPr>
          <w:rFonts w:ascii="Arial" w:eastAsia="Arial" w:hAnsi="Arial" w:cs="Arial"/>
          <w:b/>
          <w:bCs/>
          <w:sz w:val="22"/>
          <w:szCs w:val="22"/>
        </w:rPr>
        <w:t>Fernández, director comercial de ManpowerGroup</w:t>
      </w:r>
      <w:r w:rsidR="0011351B" w:rsidRPr="4C69C90D">
        <w:rPr>
          <w:rFonts w:ascii="Arial" w:eastAsia="Arial" w:hAnsi="Arial" w:cs="Arial"/>
          <w:sz w:val="22"/>
          <w:szCs w:val="22"/>
        </w:rPr>
        <w:t>, señala: “</w:t>
      </w:r>
      <w:r w:rsidR="0008597E" w:rsidRPr="4C69C90D">
        <w:rPr>
          <w:rFonts w:ascii="Arial" w:eastAsia="Arial" w:hAnsi="Arial" w:cs="Arial"/>
          <w:i/>
          <w:iCs/>
          <w:sz w:val="22"/>
          <w:szCs w:val="22"/>
        </w:rPr>
        <w:t>Las previsiones del sector de Energía y suministros reflejan un momento de ajuste tras un año de gran volatilidad, marcado por cambios regulatorios y por la transición hacia modelos más sostenibles. Aunque seguimos siendo el sector con menores expectativas, la mejora de 12 puntos frente al trimestre anterior muestra una tendencia positiva y una mayor estabilidad. Las compañías están adaptando sus estructuras para ser más eficientes y responder a un entorno cada vez más competitivo, lo que abre oportunidades de empleo más cualificado en el medio plazo.</w:t>
      </w:r>
      <w:r w:rsidR="0011351B" w:rsidRPr="4C69C90D">
        <w:rPr>
          <w:rFonts w:ascii="Arial" w:eastAsia="Arial" w:hAnsi="Arial" w:cs="Arial"/>
          <w:sz w:val="22"/>
          <w:szCs w:val="22"/>
        </w:rPr>
        <w:t>”</w:t>
      </w:r>
    </w:p>
    <w:p w14:paraId="6FCA9BE2" w14:textId="781D01A2" w:rsidR="00F42B56" w:rsidRDefault="00F42B56" w:rsidP="00F42B56">
      <w:pPr>
        <w:spacing w:before="120" w:line="288" w:lineRule="auto"/>
        <w:jc w:val="both"/>
        <w:rPr>
          <w:rFonts w:ascii="Arial" w:eastAsia="Arial" w:hAnsi="Arial" w:cs="Arial"/>
          <w:bCs/>
          <w:sz w:val="22"/>
          <w:szCs w:val="22"/>
        </w:rPr>
      </w:pPr>
      <w:r>
        <w:rPr>
          <w:rFonts w:ascii="Arial" w:eastAsia="Arial" w:hAnsi="Arial" w:cs="Arial"/>
          <w:bCs/>
          <w:sz w:val="22"/>
          <w:szCs w:val="22"/>
        </w:rPr>
        <w:br/>
      </w:r>
      <w:r w:rsidRPr="00F42B56">
        <w:rPr>
          <w:rFonts w:ascii="Arial" w:eastAsia="Arial" w:hAnsi="Arial" w:cs="Arial"/>
          <w:bCs/>
          <w:noProof/>
          <w:sz w:val="22"/>
          <w:szCs w:val="22"/>
        </w:rPr>
        <w:drawing>
          <wp:inline distT="0" distB="0" distL="0" distR="0" wp14:anchorId="6ACD522C" wp14:editId="61D65F90">
            <wp:extent cx="5760085" cy="2138045"/>
            <wp:effectExtent l="0" t="0" r="0" b="0"/>
            <wp:docPr id="2122234"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34" name="Imagen 1" descr="Interfaz de usuario gráfica, Aplicación&#10;&#10;El contenido generado por IA puede ser incorrecto."/>
                    <pic:cNvPicPr/>
                  </pic:nvPicPr>
                  <pic:blipFill>
                    <a:blip r:embed="rId12"/>
                    <a:stretch>
                      <a:fillRect/>
                    </a:stretch>
                  </pic:blipFill>
                  <pic:spPr>
                    <a:xfrm>
                      <a:off x="0" y="0"/>
                      <a:ext cx="5760085" cy="2138045"/>
                    </a:xfrm>
                    <a:prstGeom prst="rect">
                      <a:avLst/>
                    </a:prstGeom>
                  </pic:spPr>
                </pic:pic>
              </a:graphicData>
            </a:graphic>
          </wp:inline>
        </w:drawing>
      </w:r>
    </w:p>
    <w:p w14:paraId="4ACB0D62" w14:textId="77777777" w:rsidR="00F42B56" w:rsidRPr="004E249E" w:rsidRDefault="00F42B56" w:rsidP="00F42B56">
      <w:pPr>
        <w:spacing w:before="120" w:line="288" w:lineRule="auto"/>
        <w:jc w:val="right"/>
        <w:rPr>
          <w:rFonts w:ascii="Arial" w:eastAsia="Arial" w:hAnsi="Arial" w:cs="Arial"/>
          <w:sz w:val="14"/>
          <w:szCs w:val="14"/>
        </w:rPr>
      </w:pPr>
      <w:r>
        <w:rPr>
          <w:rFonts w:ascii="Arial" w:eastAsiaTheme="minorEastAsia" w:hAnsi="Arial" w:cs="Arial"/>
          <w:b/>
          <w:bCs/>
          <w:i/>
          <w:iCs/>
          <w:sz w:val="14"/>
          <w:szCs w:val="14"/>
          <w:lang w:eastAsia="zh-CN"/>
        </w:rPr>
        <w:t>Evolución del sector en el último año</w:t>
      </w:r>
    </w:p>
    <w:p w14:paraId="4FBBB990" w14:textId="77777777" w:rsidR="00F42B56" w:rsidRPr="0011351B" w:rsidRDefault="00F42B56" w:rsidP="0011351B">
      <w:pPr>
        <w:spacing w:before="120" w:line="288" w:lineRule="auto"/>
        <w:jc w:val="both"/>
        <w:rPr>
          <w:rFonts w:ascii="Arial" w:eastAsia="Arial" w:hAnsi="Arial" w:cs="Arial"/>
          <w:bCs/>
          <w:sz w:val="22"/>
          <w:szCs w:val="22"/>
        </w:rPr>
      </w:pPr>
    </w:p>
    <w:p w14:paraId="1C181CC4" w14:textId="77777777" w:rsidR="000B392D" w:rsidRDefault="00EF14B4" w:rsidP="000B392D">
      <w:pPr>
        <w:spacing w:before="120" w:line="288" w:lineRule="auto"/>
        <w:jc w:val="both"/>
        <w:rPr>
          <w:rFonts w:ascii="Arial" w:eastAsia="Arial" w:hAnsi="Arial" w:cs="Arial"/>
          <w:bCs/>
          <w:sz w:val="22"/>
          <w:szCs w:val="22"/>
        </w:rPr>
      </w:pPr>
      <w:r w:rsidRPr="000E5AE7">
        <w:rPr>
          <w:rFonts w:ascii="Arial" w:eastAsia="Arial" w:hAnsi="Arial" w:cs="Arial"/>
          <w:bCs/>
          <w:sz w:val="22"/>
          <w:szCs w:val="22"/>
        </w:rPr>
        <w:t>E</w:t>
      </w:r>
      <w:r>
        <w:rPr>
          <w:rFonts w:ascii="Arial" w:eastAsia="Arial" w:hAnsi="Arial" w:cs="Arial"/>
          <w:bCs/>
          <w:sz w:val="22"/>
          <w:szCs w:val="22"/>
        </w:rPr>
        <w:t xml:space="preserve">n cabeza, se encuentra el sector </w:t>
      </w:r>
      <w:r w:rsidRPr="00787BB7">
        <w:rPr>
          <w:rFonts w:ascii="Arial" w:eastAsia="Arial" w:hAnsi="Arial" w:cs="Arial"/>
          <w:b/>
          <w:sz w:val="22"/>
          <w:szCs w:val="22"/>
        </w:rPr>
        <w:t>de Tecnología como líder del ranking con un 31% de expectativas de contratación</w:t>
      </w:r>
      <w:r w:rsidR="000B392D">
        <w:rPr>
          <w:rFonts w:ascii="Arial" w:eastAsia="Arial" w:hAnsi="Arial" w:cs="Arial"/>
          <w:bCs/>
          <w:sz w:val="22"/>
          <w:szCs w:val="22"/>
        </w:rPr>
        <w:t xml:space="preserve">. Al contrario, y </w:t>
      </w:r>
      <w:r>
        <w:rPr>
          <w:rFonts w:ascii="Arial" w:eastAsia="Arial" w:hAnsi="Arial" w:cs="Arial"/>
          <w:bCs/>
          <w:sz w:val="22"/>
          <w:szCs w:val="22"/>
        </w:rPr>
        <w:t xml:space="preserve">con el siguiente resultado más bajo, por encima de energía, está el </w:t>
      </w:r>
      <w:r w:rsidRPr="000B392D">
        <w:rPr>
          <w:rFonts w:ascii="Arial" w:eastAsia="Arial" w:hAnsi="Arial" w:cs="Arial"/>
          <w:b/>
          <w:sz w:val="22"/>
          <w:szCs w:val="22"/>
        </w:rPr>
        <w:t>sector de Industria con un 9%</w:t>
      </w:r>
      <w:r w:rsidR="000B392D">
        <w:rPr>
          <w:rFonts w:ascii="Arial" w:eastAsia="Arial" w:hAnsi="Arial" w:cs="Arial"/>
          <w:b/>
          <w:sz w:val="22"/>
          <w:szCs w:val="22"/>
        </w:rPr>
        <w:t xml:space="preserve">, </w:t>
      </w:r>
      <w:r w:rsidR="000B392D" w:rsidRPr="00D646E7">
        <w:rPr>
          <w:rFonts w:ascii="Arial" w:eastAsia="Arial" w:hAnsi="Arial" w:cs="Arial"/>
          <w:bCs/>
          <w:sz w:val="22"/>
          <w:szCs w:val="22"/>
        </w:rPr>
        <w:t>experimentando una bajada de 9 puntos con respecto al trimestre anterior y de 13 puntos en comparación con el mismo periodo del año anterior.</w:t>
      </w:r>
    </w:p>
    <w:p w14:paraId="41465B4D" w14:textId="4445D7E4" w:rsidR="00EF14B4" w:rsidRDefault="00EF14B4" w:rsidP="00EF14B4">
      <w:pPr>
        <w:spacing w:before="120" w:line="288" w:lineRule="auto"/>
        <w:jc w:val="both"/>
        <w:rPr>
          <w:rFonts w:ascii="Arial" w:eastAsia="Arial" w:hAnsi="Arial" w:cs="Arial"/>
          <w:bCs/>
          <w:sz w:val="22"/>
          <w:szCs w:val="22"/>
        </w:rPr>
      </w:pPr>
      <w:r w:rsidRPr="00787BB7">
        <w:rPr>
          <w:rFonts w:ascii="Arial" w:eastAsia="Arial" w:hAnsi="Arial" w:cs="Arial"/>
          <w:bCs/>
          <w:sz w:val="22"/>
          <w:szCs w:val="22"/>
        </w:rPr>
        <w:t xml:space="preserve">En </w:t>
      </w:r>
      <w:r w:rsidR="1C12E988" w:rsidRPr="789D2279">
        <w:rPr>
          <w:rFonts w:ascii="Arial" w:eastAsia="Arial" w:hAnsi="Arial" w:cs="Arial"/>
          <w:sz w:val="22"/>
          <w:szCs w:val="22"/>
        </w:rPr>
        <w:t>segunda posició</w:t>
      </w:r>
      <w:r w:rsidRPr="789D2279">
        <w:rPr>
          <w:rFonts w:ascii="Arial" w:eastAsia="Arial" w:hAnsi="Arial" w:cs="Arial"/>
          <w:sz w:val="22"/>
          <w:szCs w:val="22"/>
        </w:rPr>
        <w:t>n</w:t>
      </w:r>
      <w:r w:rsidRPr="00787BB7">
        <w:rPr>
          <w:rFonts w:ascii="Arial" w:eastAsia="Arial" w:hAnsi="Arial" w:cs="Arial"/>
          <w:bCs/>
          <w:sz w:val="22"/>
          <w:szCs w:val="22"/>
        </w:rPr>
        <w:t xml:space="preserve"> el</w:t>
      </w:r>
      <w:r>
        <w:rPr>
          <w:rFonts w:ascii="Arial" w:eastAsia="Arial" w:hAnsi="Arial" w:cs="Arial"/>
          <w:b/>
          <w:sz w:val="22"/>
          <w:szCs w:val="22"/>
        </w:rPr>
        <w:t xml:space="preserve"> sector de Transporte </w:t>
      </w:r>
      <w:r w:rsidRPr="003D6704">
        <w:rPr>
          <w:rFonts w:ascii="Arial" w:eastAsia="Arial" w:hAnsi="Arial" w:cs="Arial"/>
          <w:b/>
          <w:sz w:val="22"/>
          <w:szCs w:val="22"/>
        </w:rPr>
        <w:t>logística y automoción</w:t>
      </w:r>
      <w:r w:rsidRPr="003D6704">
        <w:rPr>
          <w:rFonts w:ascii="Arial" w:eastAsia="Arial" w:hAnsi="Arial" w:cs="Arial"/>
          <w:bCs/>
          <w:sz w:val="22"/>
          <w:szCs w:val="22"/>
        </w:rPr>
        <w:t xml:space="preserve">, </w:t>
      </w:r>
      <w:r>
        <w:rPr>
          <w:rFonts w:ascii="Arial" w:eastAsia="Arial" w:hAnsi="Arial" w:cs="Arial"/>
          <w:bCs/>
          <w:sz w:val="22"/>
          <w:szCs w:val="22"/>
        </w:rPr>
        <w:t xml:space="preserve">con previsiones de generación de empleo </w:t>
      </w:r>
      <w:r w:rsidRPr="003D6704">
        <w:rPr>
          <w:rFonts w:ascii="Arial" w:eastAsia="Arial" w:hAnsi="Arial" w:cs="Arial"/>
          <w:bCs/>
          <w:sz w:val="22"/>
          <w:szCs w:val="22"/>
        </w:rPr>
        <w:t>del 2</w:t>
      </w:r>
      <w:r>
        <w:rPr>
          <w:rFonts w:ascii="Arial" w:eastAsia="Arial" w:hAnsi="Arial" w:cs="Arial"/>
          <w:bCs/>
          <w:sz w:val="22"/>
          <w:szCs w:val="22"/>
        </w:rPr>
        <w:t>5</w:t>
      </w:r>
      <w:r w:rsidRPr="003D6704">
        <w:rPr>
          <w:rFonts w:ascii="Arial" w:eastAsia="Arial" w:hAnsi="Arial" w:cs="Arial"/>
          <w:bCs/>
          <w:sz w:val="22"/>
          <w:szCs w:val="22"/>
        </w:rPr>
        <w:t xml:space="preserve">%. </w:t>
      </w:r>
      <w:r>
        <w:rPr>
          <w:rFonts w:ascii="Arial" w:eastAsia="Arial" w:hAnsi="Arial" w:cs="Arial"/>
          <w:bCs/>
          <w:sz w:val="22"/>
          <w:szCs w:val="22"/>
        </w:rPr>
        <w:t xml:space="preserve">Dos puntos porcentuales por debajo, con un </w:t>
      </w:r>
      <w:r w:rsidRPr="000B392D">
        <w:rPr>
          <w:rFonts w:ascii="Arial" w:eastAsia="Arial" w:hAnsi="Arial" w:cs="Arial"/>
          <w:b/>
          <w:sz w:val="22"/>
          <w:szCs w:val="22"/>
        </w:rPr>
        <w:t xml:space="preserve">23%, </w:t>
      </w:r>
      <w:r w:rsidRPr="789D2279">
        <w:rPr>
          <w:rFonts w:ascii="Arial" w:eastAsia="Arial" w:hAnsi="Arial" w:cs="Arial"/>
          <w:sz w:val="22"/>
          <w:szCs w:val="22"/>
        </w:rPr>
        <w:t>se encuentra</w:t>
      </w:r>
      <w:r w:rsidRPr="000B392D">
        <w:rPr>
          <w:rFonts w:ascii="Arial" w:eastAsia="Arial" w:hAnsi="Arial" w:cs="Arial"/>
          <w:b/>
          <w:sz w:val="22"/>
          <w:szCs w:val="22"/>
        </w:rPr>
        <w:t xml:space="preserve"> el sector</w:t>
      </w:r>
      <w:r>
        <w:rPr>
          <w:rFonts w:ascii="Arial" w:eastAsia="Arial" w:hAnsi="Arial" w:cs="Arial"/>
          <w:bCs/>
          <w:sz w:val="22"/>
          <w:szCs w:val="22"/>
        </w:rPr>
        <w:t xml:space="preserve"> </w:t>
      </w:r>
      <w:r w:rsidRPr="00787BB7">
        <w:rPr>
          <w:rFonts w:ascii="Arial" w:eastAsia="Arial" w:hAnsi="Arial" w:cs="Arial"/>
          <w:b/>
          <w:sz w:val="22"/>
          <w:szCs w:val="22"/>
        </w:rPr>
        <w:t>de Publicidad y comunicación</w:t>
      </w:r>
      <w:r>
        <w:rPr>
          <w:rFonts w:ascii="Arial" w:eastAsia="Arial" w:hAnsi="Arial" w:cs="Arial"/>
          <w:bCs/>
          <w:sz w:val="22"/>
          <w:szCs w:val="22"/>
        </w:rPr>
        <w:t>, tras una destacable subida de 13 puntos con respecto al trimestre anterior</w:t>
      </w:r>
      <w:r w:rsidR="065723D0" w:rsidRPr="789D2279">
        <w:rPr>
          <w:rFonts w:ascii="Arial" w:eastAsia="Arial" w:hAnsi="Arial" w:cs="Arial"/>
          <w:sz w:val="22"/>
          <w:szCs w:val="22"/>
        </w:rPr>
        <w:t xml:space="preserve"> y 30 puntos respecto al mismo periodo de 2024</w:t>
      </w:r>
      <w:r>
        <w:rPr>
          <w:rFonts w:ascii="Arial" w:eastAsia="Arial" w:hAnsi="Arial" w:cs="Arial"/>
          <w:bCs/>
          <w:sz w:val="22"/>
          <w:szCs w:val="22"/>
        </w:rPr>
        <w:t xml:space="preserve">. </w:t>
      </w:r>
    </w:p>
    <w:p w14:paraId="43296F84" w14:textId="79C37337" w:rsidR="00EF14B4" w:rsidRDefault="00EF14B4" w:rsidP="00EF14B4">
      <w:pPr>
        <w:spacing w:before="120" w:line="288" w:lineRule="auto"/>
        <w:jc w:val="both"/>
        <w:rPr>
          <w:rFonts w:ascii="Arial" w:eastAsia="Arial" w:hAnsi="Arial" w:cs="Arial"/>
          <w:bCs/>
          <w:sz w:val="22"/>
          <w:szCs w:val="22"/>
        </w:rPr>
      </w:pPr>
      <w:r>
        <w:rPr>
          <w:rFonts w:ascii="Arial" w:eastAsia="Arial" w:hAnsi="Arial" w:cs="Arial"/>
          <w:bCs/>
          <w:sz w:val="22"/>
          <w:szCs w:val="22"/>
        </w:rPr>
        <w:t xml:space="preserve">Con un </w:t>
      </w:r>
      <w:r w:rsidRPr="00D646E7">
        <w:rPr>
          <w:rFonts w:ascii="Arial" w:eastAsia="Arial" w:hAnsi="Arial" w:cs="Arial"/>
          <w:b/>
          <w:sz w:val="22"/>
          <w:szCs w:val="22"/>
        </w:rPr>
        <w:t>empate de 19%</w:t>
      </w:r>
      <w:r>
        <w:rPr>
          <w:rFonts w:ascii="Arial" w:eastAsia="Arial" w:hAnsi="Arial" w:cs="Arial"/>
          <w:bCs/>
          <w:sz w:val="22"/>
          <w:szCs w:val="22"/>
        </w:rPr>
        <w:t xml:space="preserve"> se encuentran el sector </w:t>
      </w:r>
      <w:r w:rsidRPr="00D646E7">
        <w:rPr>
          <w:rFonts w:ascii="Arial" w:eastAsia="Arial" w:hAnsi="Arial" w:cs="Arial"/>
          <w:b/>
          <w:sz w:val="22"/>
          <w:szCs w:val="22"/>
        </w:rPr>
        <w:t>Financiero e inmobiliario</w:t>
      </w:r>
      <w:r>
        <w:rPr>
          <w:rFonts w:ascii="Arial" w:eastAsia="Arial" w:hAnsi="Arial" w:cs="Arial"/>
          <w:b/>
          <w:sz w:val="22"/>
          <w:szCs w:val="22"/>
        </w:rPr>
        <w:t xml:space="preserve">, </w:t>
      </w:r>
      <w:r w:rsidRPr="00D646E7">
        <w:rPr>
          <w:rFonts w:ascii="Arial" w:eastAsia="Arial" w:hAnsi="Arial" w:cs="Arial"/>
          <w:bCs/>
          <w:sz w:val="22"/>
          <w:szCs w:val="22"/>
        </w:rPr>
        <w:t xml:space="preserve">tras una subida considerable de 10 puntos con respecto al trimestre anterior, </w:t>
      </w:r>
      <w:r>
        <w:rPr>
          <w:rFonts w:ascii="Arial" w:eastAsia="Arial" w:hAnsi="Arial" w:cs="Arial"/>
          <w:bCs/>
          <w:sz w:val="22"/>
          <w:szCs w:val="22"/>
        </w:rPr>
        <w:t xml:space="preserve">y el sector de </w:t>
      </w:r>
      <w:r w:rsidRPr="00D646E7">
        <w:rPr>
          <w:rFonts w:ascii="Arial" w:eastAsia="Arial" w:hAnsi="Arial" w:cs="Arial"/>
          <w:b/>
          <w:sz w:val="22"/>
          <w:szCs w:val="22"/>
        </w:rPr>
        <w:t>Salud y farmacia</w:t>
      </w:r>
      <w:r>
        <w:rPr>
          <w:rFonts w:ascii="Arial" w:eastAsia="Arial" w:hAnsi="Arial" w:cs="Arial"/>
          <w:bCs/>
          <w:sz w:val="22"/>
          <w:szCs w:val="22"/>
        </w:rPr>
        <w:t xml:space="preserve">, que se mantiene en cifras cercanas y estables con respecto al periodo anterior (17%). </w:t>
      </w:r>
    </w:p>
    <w:p w14:paraId="36EC0352" w14:textId="72C32A8D" w:rsidR="00DB3544" w:rsidRPr="00DB3544" w:rsidRDefault="005B60FA" w:rsidP="008B3FDB">
      <w:pPr>
        <w:spacing w:before="120" w:line="288" w:lineRule="auto"/>
        <w:jc w:val="both"/>
        <w:rPr>
          <w:rFonts w:ascii="Arial" w:eastAsia="Arial" w:hAnsi="Arial" w:cs="Arial"/>
          <w:b/>
          <w:bCs/>
          <w:sz w:val="22"/>
          <w:szCs w:val="22"/>
        </w:rPr>
      </w:pPr>
      <w:r>
        <w:rPr>
          <w:rFonts w:ascii="Arial" w:eastAsia="Arial" w:hAnsi="Arial" w:cs="Arial"/>
          <w:b/>
          <w:bCs/>
          <w:sz w:val="22"/>
          <w:szCs w:val="22"/>
        </w:rPr>
        <w:t xml:space="preserve">A nivel global, Energía </w:t>
      </w:r>
      <w:r w:rsidR="000B392D">
        <w:rPr>
          <w:rFonts w:ascii="Arial" w:eastAsia="Arial" w:hAnsi="Arial" w:cs="Arial"/>
          <w:b/>
          <w:bCs/>
          <w:sz w:val="22"/>
          <w:szCs w:val="22"/>
        </w:rPr>
        <w:t>mejora considerablemente sus expectativas en 2025</w:t>
      </w:r>
    </w:p>
    <w:p w14:paraId="0F48171B" w14:textId="5BB70F3A" w:rsidR="000B392D" w:rsidRDefault="0011351B" w:rsidP="0011351B">
      <w:pPr>
        <w:spacing w:before="120" w:line="288" w:lineRule="auto"/>
        <w:jc w:val="both"/>
        <w:rPr>
          <w:rFonts w:ascii="Arial" w:eastAsia="Arial" w:hAnsi="Arial" w:cs="Arial"/>
          <w:sz w:val="22"/>
          <w:szCs w:val="22"/>
        </w:rPr>
      </w:pPr>
      <w:r w:rsidRPr="0011351B">
        <w:rPr>
          <w:rFonts w:ascii="Arial" w:eastAsia="Arial" w:hAnsi="Arial" w:cs="Arial"/>
          <w:sz w:val="22"/>
          <w:szCs w:val="22"/>
        </w:rPr>
        <w:t xml:space="preserve">En el análisis internacional, el sector de Energía y </w:t>
      </w:r>
      <w:r w:rsidR="009E4003">
        <w:rPr>
          <w:rFonts w:ascii="Arial" w:eastAsia="Arial" w:hAnsi="Arial" w:cs="Arial"/>
          <w:sz w:val="22"/>
          <w:szCs w:val="22"/>
        </w:rPr>
        <w:t>s</w:t>
      </w:r>
      <w:r w:rsidRPr="0011351B">
        <w:rPr>
          <w:rFonts w:ascii="Arial" w:eastAsia="Arial" w:hAnsi="Arial" w:cs="Arial"/>
          <w:sz w:val="22"/>
          <w:szCs w:val="22"/>
        </w:rPr>
        <w:t xml:space="preserve">uministros </w:t>
      </w:r>
      <w:r w:rsidR="000B392D">
        <w:rPr>
          <w:rFonts w:ascii="Arial" w:eastAsia="Arial" w:hAnsi="Arial" w:cs="Arial"/>
          <w:sz w:val="22"/>
          <w:szCs w:val="22"/>
        </w:rPr>
        <w:t xml:space="preserve">sube 12 puntos porcentuales en comparación al mismo periodo del año anterior, situándose solo 3 puntos por debajo de la </w:t>
      </w:r>
      <w:r w:rsidR="000B392D">
        <w:rPr>
          <w:rFonts w:ascii="Arial" w:eastAsia="Arial" w:hAnsi="Arial" w:cs="Arial"/>
          <w:sz w:val="22"/>
          <w:szCs w:val="22"/>
        </w:rPr>
        <w:lastRenderedPageBreak/>
        <w:t>media global. Con respecto al trimestre pasado, ha experimentado un crecimiento de 6 puntos porcentuales, convirtiendo al sector en unos de los más dinámicos en cuanto a su evolución.</w:t>
      </w:r>
    </w:p>
    <w:p w14:paraId="704D780C" w14:textId="6C8301A7" w:rsidR="00ED24D6" w:rsidRPr="005B3BC9" w:rsidRDefault="0011351B" w:rsidP="00ED24D6">
      <w:pPr>
        <w:spacing w:before="120" w:line="288" w:lineRule="auto"/>
        <w:jc w:val="both"/>
        <w:rPr>
          <w:rFonts w:ascii="Arial" w:eastAsia="Arial" w:hAnsi="Arial" w:cs="Arial"/>
          <w:sz w:val="22"/>
          <w:szCs w:val="22"/>
        </w:rPr>
      </w:pPr>
      <w:r w:rsidRPr="0011351B">
        <w:rPr>
          <w:rFonts w:ascii="Arial" w:eastAsia="Arial" w:hAnsi="Arial" w:cs="Arial"/>
          <w:sz w:val="22"/>
          <w:szCs w:val="22"/>
        </w:rPr>
        <w:t xml:space="preserve">Como viene siendo habitual, el ranking global lo encabezan las empresas tecnológicas, que a pesar de una ligera bajada de </w:t>
      </w:r>
      <w:r w:rsidR="000B392D">
        <w:rPr>
          <w:rFonts w:ascii="Arial" w:eastAsia="Arial" w:hAnsi="Arial" w:cs="Arial"/>
          <w:sz w:val="22"/>
          <w:szCs w:val="22"/>
        </w:rPr>
        <w:t>2</w:t>
      </w:r>
      <w:r w:rsidRPr="0011351B">
        <w:rPr>
          <w:rFonts w:ascii="Arial" w:eastAsia="Arial" w:hAnsi="Arial" w:cs="Arial"/>
          <w:sz w:val="22"/>
          <w:szCs w:val="22"/>
        </w:rPr>
        <w:t xml:space="preserve"> punto</w:t>
      </w:r>
      <w:r w:rsidR="000B392D">
        <w:rPr>
          <w:rFonts w:ascii="Arial" w:eastAsia="Arial" w:hAnsi="Arial" w:cs="Arial"/>
          <w:sz w:val="22"/>
          <w:szCs w:val="22"/>
        </w:rPr>
        <w:t>s</w:t>
      </w:r>
      <w:r w:rsidRPr="0011351B">
        <w:rPr>
          <w:rFonts w:ascii="Arial" w:eastAsia="Arial" w:hAnsi="Arial" w:cs="Arial"/>
          <w:sz w:val="22"/>
          <w:szCs w:val="22"/>
        </w:rPr>
        <w:t xml:space="preserve"> frente al trimestre anterior, mantienen una previsión neta del 3</w:t>
      </w:r>
      <w:r w:rsidR="009E4003">
        <w:rPr>
          <w:rFonts w:ascii="Arial" w:eastAsia="Arial" w:hAnsi="Arial" w:cs="Arial"/>
          <w:sz w:val="22"/>
          <w:szCs w:val="22"/>
        </w:rPr>
        <w:t>6</w:t>
      </w:r>
      <w:r w:rsidRPr="0011351B">
        <w:rPr>
          <w:rFonts w:ascii="Arial" w:eastAsia="Arial" w:hAnsi="Arial" w:cs="Arial"/>
          <w:sz w:val="22"/>
          <w:szCs w:val="22"/>
        </w:rPr>
        <w:t>%.</w:t>
      </w:r>
      <w:bookmarkEnd w:id="3"/>
      <w:bookmarkEnd w:id="4"/>
    </w:p>
    <w:p w14:paraId="2681FE74" w14:textId="77777777" w:rsidR="005B3BC9" w:rsidRPr="003340E7" w:rsidRDefault="005B3BC9" w:rsidP="005B3BC9">
      <w:pPr>
        <w:spacing w:before="120" w:line="288" w:lineRule="auto"/>
        <w:jc w:val="both"/>
        <w:rPr>
          <w:rFonts w:ascii="Arial" w:eastAsia="Arial" w:hAnsi="Arial" w:cs="Arial"/>
          <w:b/>
          <w:bCs/>
          <w:sz w:val="20"/>
          <w:szCs w:val="20"/>
          <w:u w:val="single"/>
        </w:rPr>
      </w:pPr>
      <w:r w:rsidRPr="003340E7">
        <w:rPr>
          <w:rFonts w:ascii="Arial" w:eastAsia="Arial" w:hAnsi="Arial" w:cs="Arial"/>
          <w:b/>
          <w:bCs/>
          <w:sz w:val="20"/>
          <w:szCs w:val="20"/>
          <w:u w:val="single"/>
        </w:rPr>
        <w:t>Sobre el Estudio</w:t>
      </w:r>
    </w:p>
    <w:p w14:paraId="640B7949" w14:textId="77777777" w:rsidR="005B3BC9" w:rsidRPr="00E1195B" w:rsidRDefault="005B3BC9" w:rsidP="005B3BC9">
      <w:pPr>
        <w:spacing w:before="120" w:line="288" w:lineRule="auto"/>
        <w:jc w:val="both"/>
        <w:rPr>
          <w:rFonts w:ascii="Arial" w:eastAsiaTheme="minorEastAsia" w:hAnsi="Arial" w:cs="Arial"/>
          <w:color w:val="808080" w:themeColor="background1" w:themeShade="80"/>
          <w:kern w:val="24"/>
          <w:sz w:val="30"/>
          <w:szCs w:val="30"/>
        </w:rPr>
      </w:pPr>
      <w:r w:rsidRPr="00E1195B">
        <w:rPr>
          <w:rFonts w:ascii="Arial" w:hAnsi="Arial" w:cs="Arial"/>
          <w:b/>
          <w:bCs/>
          <w:color w:val="808080" w:themeColor="background1" w:themeShade="80"/>
          <w:sz w:val="20"/>
          <w:szCs w:val="20"/>
        </w:rPr>
        <w:t xml:space="preserve">Sobre el Estudio de Proyección de Empleo de ManpowerGroup: </w:t>
      </w:r>
      <w:r w:rsidRPr="00E1195B">
        <w:rPr>
          <w:rFonts w:ascii="Arial" w:hAnsi="Arial" w:cs="Arial"/>
          <w:color w:val="808080" w:themeColor="background1" w:themeShade="80"/>
          <w:sz w:val="20"/>
          <w:szCs w:val="20"/>
        </w:rPr>
        <w:t xml:space="preserve">este estudio se basa en entrevistas realizadas a </w:t>
      </w:r>
      <w:r>
        <w:rPr>
          <w:rFonts w:ascii="Arial" w:hAnsi="Arial" w:cs="Arial"/>
          <w:b/>
          <w:bCs/>
          <w:color w:val="808080" w:themeColor="background1" w:themeShade="80"/>
          <w:sz w:val="20"/>
          <w:szCs w:val="20"/>
        </w:rPr>
        <w:t>40.533</w:t>
      </w:r>
      <w:r w:rsidRPr="00E1195B">
        <w:rPr>
          <w:rFonts w:ascii="Arial" w:hAnsi="Arial" w:cs="Arial"/>
          <w:b/>
          <w:bCs/>
          <w:color w:val="808080" w:themeColor="background1" w:themeShade="80"/>
          <w:sz w:val="20"/>
          <w:szCs w:val="20"/>
        </w:rPr>
        <w:t xml:space="preserve"> empresas de todo el mundo</w:t>
      </w:r>
      <w:r>
        <w:rPr>
          <w:rFonts w:ascii="Arial" w:hAnsi="Arial" w:cs="Arial"/>
          <w:b/>
          <w:bCs/>
          <w:color w:val="808080" w:themeColor="background1" w:themeShade="80"/>
          <w:sz w:val="20"/>
          <w:szCs w:val="20"/>
        </w:rPr>
        <w:t xml:space="preserve">, </w:t>
      </w:r>
      <w:r w:rsidRPr="00E1195B">
        <w:rPr>
          <w:rFonts w:ascii="Arial" w:hAnsi="Arial" w:cs="Arial"/>
          <w:color w:val="808080" w:themeColor="background1" w:themeShade="80"/>
          <w:sz w:val="20"/>
          <w:szCs w:val="20"/>
        </w:rPr>
        <w:t>tanto del sector público como del privado, de 4</w:t>
      </w:r>
      <w:r>
        <w:rPr>
          <w:rFonts w:ascii="Arial" w:hAnsi="Arial" w:cs="Arial"/>
          <w:color w:val="808080" w:themeColor="background1" w:themeShade="80"/>
          <w:sz w:val="20"/>
          <w:szCs w:val="20"/>
        </w:rPr>
        <w:t>2</w:t>
      </w:r>
      <w:r w:rsidRPr="00E1195B">
        <w:rPr>
          <w:rFonts w:ascii="Arial" w:hAnsi="Arial" w:cs="Arial"/>
          <w:color w:val="808080" w:themeColor="background1" w:themeShade="80"/>
          <w:sz w:val="20"/>
          <w:szCs w:val="20"/>
        </w:rPr>
        <w:t xml:space="preserve"> países y territorios, y su objetivo es medir las tendencias de empleo previstas para cada trimestre. Esta muestra permite realizar un análisis por sectores y regiones -ya que están estandarizados en todos los mercados- y así ofrecer una información más detallada.</w:t>
      </w:r>
      <w:r w:rsidRPr="00E1195B">
        <w:rPr>
          <w:rFonts w:ascii="Arial" w:eastAsiaTheme="minorEastAsia" w:hAnsi="Arial" w:cs="Arial"/>
          <w:color w:val="808080" w:themeColor="background1" w:themeShade="80"/>
          <w:kern w:val="24"/>
          <w:sz w:val="30"/>
          <w:szCs w:val="30"/>
        </w:rPr>
        <w:t xml:space="preserve"> </w:t>
      </w:r>
    </w:p>
    <w:p w14:paraId="2738DADC" w14:textId="77777777" w:rsidR="005B3BC9" w:rsidRPr="00E1195B" w:rsidRDefault="005B3BC9" w:rsidP="005B3BC9">
      <w:pPr>
        <w:spacing w:before="120" w:line="288" w:lineRule="auto"/>
        <w:jc w:val="both"/>
        <w:rPr>
          <w:rFonts w:ascii="Arial" w:hAnsi="Arial" w:cs="Arial"/>
          <w:color w:val="808080" w:themeColor="background1" w:themeShade="80"/>
          <w:sz w:val="20"/>
          <w:szCs w:val="20"/>
        </w:rPr>
      </w:pPr>
      <w:r w:rsidRPr="00E1195B">
        <w:rPr>
          <w:rFonts w:ascii="Arial" w:hAnsi="Arial" w:cs="Arial"/>
          <w:color w:val="808080" w:themeColor="background1" w:themeShade="80"/>
          <w:sz w:val="20"/>
          <w:szCs w:val="20"/>
        </w:rPr>
        <w:t xml:space="preserve">El estudio obtiene su información a partir de una única pregunta: </w:t>
      </w:r>
      <w:r w:rsidRPr="00E1195B">
        <w:rPr>
          <w:rFonts w:ascii="Arial" w:hAnsi="Arial" w:cs="Arial"/>
          <w:b/>
          <w:bCs/>
          <w:color w:val="808080" w:themeColor="background1" w:themeShade="80"/>
          <w:sz w:val="20"/>
          <w:szCs w:val="20"/>
        </w:rPr>
        <w:t xml:space="preserve">“¿Cómo prevé usted que cambiará el empleo total en su empresa en el próximo trimestre, desde </w:t>
      </w:r>
      <w:r>
        <w:rPr>
          <w:rFonts w:ascii="Arial" w:hAnsi="Arial" w:cs="Arial"/>
          <w:b/>
          <w:bCs/>
          <w:color w:val="808080" w:themeColor="background1" w:themeShade="80"/>
          <w:sz w:val="20"/>
          <w:szCs w:val="20"/>
        </w:rPr>
        <w:t xml:space="preserve">octubre a diciembre </w:t>
      </w:r>
      <w:r w:rsidRPr="00E1195B">
        <w:rPr>
          <w:rFonts w:ascii="Arial" w:hAnsi="Arial" w:cs="Arial"/>
          <w:b/>
          <w:bCs/>
          <w:color w:val="808080" w:themeColor="background1" w:themeShade="80"/>
          <w:sz w:val="20"/>
          <w:szCs w:val="20"/>
        </w:rPr>
        <w:t>de 2025, en comparación con el trimestre actual?”</w:t>
      </w:r>
      <w:r w:rsidRPr="00E1195B">
        <w:rPr>
          <w:rFonts w:ascii="Arial" w:hAnsi="Arial" w:cs="Arial"/>
          <w:color w:val="808080" w:themeColor="background1" w:themeShade="80"/>
          <w:sz w:val="20"/>
          <w:szCs w:val="20"/>
        </w:rPr>
        <w:t xml:space="preserve">. Como resultado de comparar las compañías que tienen previsto ampliar sus equipos y las que anticipan una reducción </w:t>
      </w:r>
      <w:r w:rsidRPr="00E1195B">
        <w:rPr>
          <w:rFonts w:ascii="Arial" w:hAnsi="Arial" w:cs="Arial"/>
          <w:b/>
          <w:bCs/>
          <w:color w:val="808080" w:themeColor="background1" w:themeShade="80"/>
          <w:sz w:val="20"/>
          <w:szCs w:val="20"/>
        </w:rPr>
        <w:t>se obtiene un índice cuyo resultado puede ir desde -100% a 100%</w:t>
      </w:r>
      <w:r w:rsidRPr="00E1195B">
        <w:rPr>
          <w:rFonts w:ascii="Arial" w:hAnsi="Arial" w:cs="Arial"/>
          <w:color w:val="808080" w:themeColor="background1" w:themeShade="80"/>
          <w:sz w:val="20"/>
          <w:szCs w:val="20"/>
        </w:rPr>
        <w:t>.</w:t>
      </w:r>
    </w:p>
    <w:p w14:paraId="4B30EEA1" w14:textId="77777777" w:rsidR="005B3BC9" w:rsidRPr="00E1195B" w:rsidRDefault="005B3BC9" w:rsidP="005B3BC9">
      <w:pPr>
        <w:spacing w:before="120" w:line="288" w:lineRule="auto"/>
        <w:jc w:val="both"/>
        <w:rPr>
          <w:rFonts w:ascii="Arial" w:hAnsi="Arial" w:cs="Arial"/>
          <w:color w:val="808080" w:themeColor="background1" w:themeShade="80"/>
          <w:sz w:val="20"/>
          <w:szCs w:val="20"/>
        </w:rPr>
      </w:pPr>
      <w:r w:rsidRPr="00E1195B">
        <w:rPr>
          <w:rFonts w:ascii="Arial" w:hAnsi="Arial" w:cs="Arial"/>
          <w:color w:val="808080" w:themeColor="background1" w:themeShade="80"/>
          <w:sz w:val="20"/>
          <w:szCs w:val="20"/>
        </w:rPr>
        <w:t>El estudio se lleva a cabo desde hace más de 60 años con la misma pregunta y perfil de encuestados. Desde el primer trimestre de 2022, las respuestas se recopilan a través de un sistema online de doble confirmación en el que se incentiva a los participantes a completar la encuesta.</w:t>
      </w:r>
    </w:p>
    <w:p w14:paraId="78070E79" w14:textId="77777777" w:rsidR="00783F06" w:rsidRDefault="00783F06" w:rsidP="0006407D">
      <w:pPr>
        <w:jc w:val="both"/>
        <w:rPr>
          <w:rFonts w:ascii="Arial" w:hAnsi="Arial" w:cs="Arial"/>
          <w:b/>
          <w:bCs/>
          <w:sz w:val="16"/>
          <w:szCs w:val="16"/>
        </w:rPr>
      </w:pPr>
    </w:p>
    <w:bookmarkEnd w:id="0"/>
    <w:bookmarkEnd w:id="1"/>
    <w:p w14:paraId="39214EB4" w14:textId="77777777" w:rsidR="008D3E86" w:rsidRPr="003F3B91" w:rsidRDefault="008D3E86" w:rsidP="008D3E86">
      <w:pPr>
        <w:jc w:val="both"/>
        <w:rPr>
          <w:rFonts w:ascii="Arial" w:eastAsia="Arial" w:hAnsi="Arial" w:cs="Arial"/>
          <w:sz w:val="16"/>
          <w:szCs w:val="16"/>
        </w:rPr>
      </w:pPr>
      <w:r w:rsidRPr="003F3B91">
        <w:rPr>
          <w:rFonts w:ascii="Arial" w:eastAsia="Arial" w:hAnsi="Arial" w:cs="Arial"/>
          <w:b/>
          <w:sz w:val="16"/>
          <w:szCs w:val="16"/>
        </w:rPr>
        <w:t>ManpowerGroup</w:t>
      </w:r>
    </w:p>
    <w:p w14:paraId="4DD51DB1" w14:textId="77777777" w:rsidR="008D3E86" w:rsidRPr="003F3B91" w:rsidRDefault="008D3E86" w:rsidP="008D3E86">
      <w:pPr>
        <w:jc w:val="both"/>
        <w:rPr>
          <w:rFonts w:ascii="Arial" w:hAnsi="Arial" w:cs="Arial"/>
          <w:sz w:val="16"/>
          <w:szCs w:val="16"/>
        </w:rPr>
      </w:pPr>
      <w:r w:rsidRPr="003F3B91">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03E0E207" w14:textId="77777777" w:rsidR="008D3E86" w:rsidRPr="003F3B91" w:rsidRDefault="008D3E86" w:rsidP="008D3E86">
      <w:pPr>
        <w:jc w:val="both"/>
        <w:rPr>
          <w:rFonts w:ascii="Arial" w:hAnsi="Arial" w:cs="Arial"/>
          <w:sz w:val="16"/>
          <w:szCs w:val="16"/>
        </w:rPr>
      </w:pPr>
      <w:r w:rsidRPr="003F3B91">
        <w:rPr>
          <w:rFonts w:ascii="Arial" w:hAnsi="Arial" w:cs="Arial"/>
          <w:sz w:val="16"/>
          <w:szCs w:val="16"/>
        </w:rPr>
        <w:t xml:space="preserve">Más información en </w:t>
      </w:r>
      <w:hyperlink r:id="rId13" w:history="1">
        <w:r w:rsidRPr="003F3B91">
          <w:rPr>
            <w:rStyle w:val="Hipervnculo"/>
            <w:rFonts w:ascii="Arial" w:hAnsi="Arial" w:cs="Arial"/>
            <w:sz w:val="16"/>
            <w:szCs w:val="16"/>
          </w:rPr>
          <w:t>www.manpowergroup.es</w:t>
        </w:r>
      </w:hyperlink>
      <w:r w:rsidRPr="003F3B91">
        <w:rPr>
          <w:rFonts w:ascii="Arial" w:hAnsi="Arial" w:cs="Arial"/>
          <w:sz w:val="16"/>
          <w:szCs w:val="16"/>
        </w:rPr>
        <w:t>.</w:t>
      </w:r>
    </w:p>
    <w:p w14:paraId="654BC809" w14:textId="77777777" w:rsidR="008D3E86" w:rsidRPr="003F3B91" w:rsidRDefault="008D3E86" w:rsidP="008D3E86">
      <w:pPr>
        <w:jc w:val="both"/>
        <w:rPr>
          <w:rFonts w:ascii="Arial" w:eastAsia="Arial" w:hAnsi="Arial" w:cs="Arial"/>
          <w:sz w:val="16"/>
          <w:szCs w:val="16"/>
        </w:rPr>
      </w:pPr>
    </w:p>
    <w:p w14:paraId="47323688" w14:textId="77777777" w:rsidR="005B3BC9" w:rsidRDefault="005B3BC9" w:rsidP="005B3BC9">
      <w:pPr>
        <w:tabs>
          <w:tab w:val="right" w:pos="8838"/>
        </w:tabs>
        <w:autoSpaceDE w:val="0"/>
        <w:autoSpaceDN w:val="0"/>
        <w:adjustRightInd w:val="0"/>
        <w:jc w:val="both"/>
        <w:rPr>
          <w:rFonts w:ascii="Arial" w:eastAsia="Arial" w:hAnsi="Arial" w:cs="Arial"/>
          <w:sz w:val="16"/>
          <w:szCs w:val="16"/>
        </w:rPr>
      </w:pPr>
    </w:p>
    <w:p w14:paraId="1922125C" w14:textId="6C3EFB0E" w:rsidR="005B3BC9" w:rsidRPr="00761D60" w:rsidRDefault="005B3BC9" w:rsidP="005B3BC9">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5B3BC9" w:rsidRPr="008861A5" w14:paraId="159B4F05" w14:textId="77777777" w:rsidTr="00E539EC">
        <w:trPr>
          <w:trHeight w:val="1159"/>
        </w:trPr>
        <w:tc>
          <w:tcPr>
            <w:tcW w:w="3686" w:type="dxa"/>
            <w:hideMark/>
          </w:tcPr>
          <w:p w14:paraId="4B2719EE" w14:textId="77777777" w:rsidR="005B3BC9" w:rsidRPr="00761D60" w:rsidRDefault="005B3BC9" w:rsidP="00E539EC">
            <w:pPr>
              <w:pStyle w:val="NormalWeb"/>
              <w:spacing w:before="0" w:beforeAutospacing="0" w:after="0" w:afterAutospacing="0"/>
              <w:jc w:val="both"/>
              <w:rPr>
                <w:rStyle w:val="Hipervnculo"/>
                <w:rFonts w:ascii="Arial" w:eastAsia="MS Mincho" w:hAnsi="Arial" w:cs="Arial"/>
                <w:sz w:val="16"/>
                <w:szCs w:val="16"/>
              </w:rPr>
            </w:pPr>
            <w:bookmarkStart w:id="5" w:name="_Hlk90207537"/>
            <w:r w:rsidRPr="00761D60">
              <w:rPr>
                <w:rFonts w:ascii="Arial" w:hAnsi="Arial" w:cs="Arial"/>
                <w:color w:val="000000"/>
                <w:sz w:val="16"/>
                <w:szCs w:val="16"/>
                <w:u w:val="single"/>
              </w:rPr>
              <w:t xml:space="preserve">Agencia de comunicación </w:t>
            </w:r>
            <w:r>
              <w:rPr>
                <w:rFonts w:ascii="Arial" w:hAnsi="Arial" w:cs="Arial"/>
                <w:color w:val="000000"/>
                <w:sz w:val="16"/>
                <w:szCs w:val="16"/>
                <w:u w:val="single"/>
              </w:rPr>
              <w:t>Havas PR</w:t>
            </w:r>
          </w:p>
          <w:p w14:paraId="361A9661" w14:textId="77777777" w:rsidR="005B3BC9" w:rsidRPr="00030508" w:rsidRDefault="005B3BC9" w:rsidP="00E539EC">
            <w:pPr>
              <w:pStyle w:val="NormalWeb"/>
              <w:spacing w:before="0" w:beforeAutospacing="0" w:after="0" w:afterAutospacing="0"/>
              <w:rPr>
                <w:rFonts w:ascii="Arial" w:hAnsi="Arial" w:cs="Arial"/>
                <w:color w:val="000000"/>
                <w:sz w:val="16"/>
                <w:szCs w:val="16"/>
              </w:rPr>
            </w:pPr>
            <w:hyperlink r:id="rId14" w:history="1">
              <w:r w:rsidRPr="00DC170F">
                <w:rPr>
                  <w:rStyle w:val="Hipervnculo"/>
                  <w:rFonts w:ascii="Arial" w:hAnsi="Arial" w:cs="Arial"/>
                  <w:b/>
                  <w:bCs/>
                  <w:sz w:val="16"/>
                  <w:szCs w:val="16"/>
                </w:rPr>
                <w:t>comunicacion.manpowergroup@havas.com</w:t>
              </w:r>
            </w:hyperlink>
            <w:r w:rsidRPr="00030508">
              <w:rPr>
                <w:rFonts w:ascii="Arial" w:hAnsi="Arial" w:cs="Arial"/>
                <w:b/>
                <w:bCs/>
                <w:color w:val="000000"/>
                <w:sz w:val="16"/>
                <w:szCs w:val="16"/>
              </w:rPr>
              <w:t xml:space="preserve"> </w:t>
            </w:r>
          </w:p>
          <w:p w14:paraId="3507D5B0" w14:textId="77777777" w:rsidR="005B3BC9" w:rsidRPr="00761D60" w:rsidRDefault="005B3BC9" w:rsidP="00E539EC">
            <w:pPr>
              <w:jc w:val="both"/>
              <w:outlineLvl w:val="0"/>
              <w:rPr>
                <w:rFonts w:ascii="Arial" w:hAnsi="Arial" w:cs="Arial"/>
                <w:b/>
                <w:sz w:val="16"/>
                <w:szCs w:val="16"/>
                <w:lang w:val="ca-ES"/>
              </w:rPr>
            </w:pPr>
          </w:p>
        </w:tc>
        <w:tc>
          <w:tcPr>
            <w:tcW w:w="2234" w:type="dxa"/>
          </w:tcPr>
          <w:p w14:paraId="089DA199" w14:textId="77777777" w:rsidR="005B3BC9" w:rsidRPr="00761D60" w:rsidRDefault="005B3BC9" w:rsidP="00E539EC">
            <w:pPr>
              <w:jc w:val="both"/>
              <w:rPr>
                <w:rFonts w:ascii="Arial" w:hAnsi="Arial" w:cs="Arial"/>
                <w:sz w:val="16"/>
                <w:szCs w:val="16"/>
                <w:lang w:val="ca-ES"/>
              </w:rPr>
            </w:pPr>
          </w:p>
        </w:tc>
        <w:tc>
          <w:tcPr>
            <w:tcW w:w="3028" w:type="dxa"/>
          </w:tcPr>
          <w:p w14:paraId="224D2A33" w14:textId="77777777" w:rsidR="005B3BC9" w:rsidRPr="00761D60" w:rsidRDefault="005B3BC9" w:rsidP="00E539EC">
            <w:pPr>
              <w:jc w:val="both"/>
              <w:outlineLvl w:val="0"/>
              <w:rPr>
                <w:rFonts w:ascii="Arial" w:hAnsi="Arial" w:cs="Arial"/>
                <w:b/>
                <w:sz w:val="16"/>
                <w:szCs w:val="16"/>
              </w:rPr>
            </w:pPr>
            <w:r w:rsidRPr="00761D60">
              <w:rPr>
                <w:rFonts w:ascii="Arial" w:hAnsi="Arial" w:cs="Arial"/>
                <w:b/>
                <w:sz w:val="16"/>
                <w:szCs w:val="16"/>
              </w:rPr>
              <w:t>ManpowerGroup</w:t>
            </w:r>
          </w:p>
          <w:p w14:paraId="0558A22D" w14:textId="77777777" w:rsidR="005B3BC9" w:rsidRPr="00761D60" w:rsidRDefault="005B3BC9" w:rsidP="00E539EC">
            <w:pPr>
              <w:jc w:val="both"/>
              <w:outlineLvl w:val="0"/>
              <w:rPr>
                <w:rFonts w:ascii="Arial" w:hAnsi="Arial" w:cs="Arial"/>
                <w:sz w:val="16"/>
                <w:szCs w:val="16"/>
              </w:rPr>
            </w:pPr>
            <w:r w:rsidRPr="00761D60">
              <w:rPr>
                <w:rFonts w:ascii="Arial" w:hAnsi="Arial" w:cs="Arial"/>
                <w:sz w:val="16"/>
                <w:szCs w:val="16"/>
              </w:rPr>
              <w:t>Dpto. Comunicación</w:t>
            </w:r>
          </w:p>
          <w:p w14:paraId="34523BF1" w14:textId="77777777" w:rsidR="005B3BC9" w:rsidRPr="000D00D5" w:rsidRDefault="005B3BC9" w:rsidP="00E539EC">
            <w:pPr>
              <w:jc w:val="both"/>
              <w:rPr>
                <w:rFonts w:ascii="Arial" w:hAnsi="Arial" w:cs="Arial"/>
                <w:sz w:val="16"/>
                <w:szCs w:val="16"/>
              </w:rPr>
            </w:pPr>
            <w:r w:rsidRPr="000D00D5">
              <w:rPr>
                <w:rFonts w:ascii="Arial" w:hAnsi="Arial" w:cs="Arial"/>
                <w:sz w:val="16"/>
                <w:szCs w:val="16"/>
              </w:rPr>
              <w:t xml:space="preserve">Gala Díaz Curiel </w:t>
            </w:r>
          </w:p>
          <w:p w14:paraId="51D24ABE" w14:textId="77777777" w:rsidR="005B3BC9" w:rsidRPr="000D00D5" w:rsidRDefault="005B3BC9" w:rsidP="00E539EC">
            <w:pPr>
              <w:jc w:val="both"/>
              <w:rPr>
                <w:rFonts w:ascii="Arial" w:hAnsi="Arial" w:cs="Arial"/>
                <w:sz w:val="16"/>
                <w:szCs w:val="16"/>
              </w:rPr>
            </w:pPr>
            <w:r w:rsidRPr="000D00D5">
              <w:rPr>
                <w:rFonts w:ascii="Arial" w:hAnsi="Arial" w:cs="Arial"/>
                <w:sz w:val="16"/>
                <w:szCs w:val="16"/>
              </w:rPr>
              <w:t>607 35 33 49</w:t>
            </w:r>
          </w:p>
          <w:p w14:paraId="0B8A2BBA" w14:textId="77777777" w:rsidR="005B3BC9" w:rsidRPr="000D00D5" w:rsidRDefault="005B3BC9" w:rsidP="00E539EC">
            <w:pPr>
              <w:jc w:val="both"/>
              <w:rPr>
                <w:rFonts w:ascii="Arial" w:hAnsi="Arial" w:cs="Arial"/>
                <w:sz w:val="16"/>
                <w:szCs w:val="16"/>
                <w:u w:val="single"/>
              </w:rPr>
            </w:pPr>
            <w:hyperlink r:id="rId15" w:history="1">
              <w:r w:rsidRPr="000D00D5">
                <w:rPr>
                  <w:rStyle w:val="Hipervnculo"/>
                  <w:rFonts w:ascii="Arial" w:hAnsi="Arial" w:cs="Arial"/>
                  <w:sz w:val="16"/>
                  <w:szCs w:val="16"/>
                </w:rPr>
                <w:t>gala.diaz@manpowergroup.es</w:t>
              </w:r>
            </w:hyperlink>
          </w:p>
          <w:p w14:paraId="4EBC23BC" w14:textId="77777777" w:rsidR="005B3BC9" w:rsidRDefault="005B3BC9" w:rsidP="00E539EC">
            <w:pPr>
              <w:jc w:val="both"/>
              <w:rPr>
                <w:rFonts w:ascii="Arial" w:hAnsi="Arial" w:cs="Arial"/>
                <w:sz w:val="16"/>
                <w:szCs w:val="16"/>
              </w:rPr>
            </w:pPr>
          </w:p>
          <w:p w14:paraId="22B3C0BC" w14:textId="77777777" w:rsidR="005B3BC9" w:rsidRPr="00761D60" w:rsidRDefault="005B3BC9" w:rsidP="00E539EC">
            <w:pPr>
              <w:jc w:val="both"/>
              <w:rPr>
                <w:rFonts w:ascii="Arial" w:hAnsi="Arial" w:cs="Arial"/>
                <w:sz w:val="16"/>
                <w:szCs w:val="16"/>
              </w:rPr>
            </w:pPr>
            <w:r w:rsidRPr="00761D60">
              <w:rPr>
                <w:rFonts w:ascii="Arial" w:hAnsi="Arial" w:cs="Arial"/>
                <w:sz w:val="16"/>
                <w:szCs w:val="16"/>
              </w:rPr>
              <w:t>Juan Gómez Rodríguez</w:t>
            </w:r>
          </w:p>
          <w:p w14:paraId="64F5B32D" w14:textId="77777777" w:rsidR="005B3BC9" w:rsidRPr="00F51FFC" w:rsidRDefault="005B3BC9" w:rsidP="00E539EC">
            <w:pPr>
              <w:jc w:val="both"/>
              <w:rPr>
                <w:rFonts w:ascii="Arial" w:hAnsi="Arial" w:cs="Arial"/>
                <w:sz w:val="16"/>
                <w:szCs w:val="16"/>
                <w:lang w:val="de-DE"/>
              </w:rPr>
            </w:pPr>
            <w:r w:rsidRPr="00F51FFC">
              <w:rPr>
                <w:rFonts w:ascii="Arial" w:hAnsi="Arial" w:cs="Arial"/>
                <w:sz w:val="16"/>
                <w:szCs w:val="16"/>
                <w:lang w:val="de-DE"/>
              </w:rPr>
              <w:t>Tel. 687 51 96 90</w:t>
            </w:r>
          </w:p>
          <w:p w14:paraId="40E7BF1B" w14:textId="77777777" w:rsidR="005B3BC9" w:rsidRPr="00F51FFC" w:rsidRDefault="005B3BC9" w:rsidP="00E539EC">
            <w:pPr>
              <w:jc w:val="both"/>
              <w:rPr>
                <w:rFonts w:ascii="Arial" w:hAnsi="Arial" w:cs="Arial"/>
                <w:sz w:val="16"/>
                <w:szCs w:val="16"/>
                <w:lang w:val="de-DE"/>
              </w:rPr>
            </w:pPr>
            <w:hyperlink r:id="rId16" w:history="1">
              <w:r w:rsidRPr="00F51FFC">
                <w:rPr>
                  <w:rStyle w:val="Hipervnculo"/>
                  <w:rFonts w:ascii="Arial" w:hAnsi="Arial" w:cs="Arial"/>
                  <w:sz w:val="16"/>
                  <w:szCs w:val="16"/>
                  <w:lang w:val="de-DE"/>
                </w:rPr>
                <w:t>juan.gomez@manpowergroup.es</w:t>
              </w:r>
            </w:hyperlink>
          </w:p>
        </w:tc>
      </w:tr>
      <w:bookmarkEnd w:id="5"/>
    </w:tbl>
    <w:p w14:paraId="0F55B214" w14:textId="77777777" w:rsidR="008E54AD" w:rsidRPr="00F4564F" w:rsidRDefault="008E54AD" w:rsidP="008B3A52">
      <w:pPr>
        <w:tabs>
          <w:tab w:val="right" w:pos="8838"/>
        </w:tabs>
        <w:autoSpaceDE w:val="0"/>
        <w:autoSpaceDN w:val="0"/>
        <w:adjustRightInd w:val="0"/>
        <w:jc w:val="both"/>
        <w:rPr>
          <w:rFonts w:ascii="Arial" w:hAnsi="Arial" w:cs="Arial"/>
          <w:b/>
          <w:bCs/>
          <w:sz w:val="16"/>
          <w:szCs w:val="16"/>
          <w:lang w:val="de-DE"/>
        </w:rPr>
      </w:pPr>
    </w:p>
    <w:sectPr w:rsidR="008E54AD" w:rsidRPr="00F4564F" w:rsidSect="006A61A8">
      <w:headerReference w:type="default" r:id="rId17"/>
      <w:footerReference w:type="even" r:id="rId18"/>
      <w:footerReference w:type="default" r:id="rId19"/>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47A1" w14:textId="77777777" w:rsidR="00412C5A" w:rsidRDefault="00412C5A">
      <w:r>
        <w:separator/>
      </w:r>
    </w:p>
  </w:endnote>
  <w:endnote w:type="continuationSeparator" w:id="0">
    <w:p w14:paraId="44CB96C9" w14:textId="77777777" w:rsidR="00412C5A" w:rsidRDefault="0041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77777777" w:rsidR="003B09CB"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3B09CB" w:rsidRDefault="003B09CB"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A2D" w14:textId="77777777" w:rsidR="003B09CB" w:rsidRDefault="003B09CB" w:rsidP="006479E0">
    <w:pPr>
      <w:pStyle w:val="Piedepgina"/>
      <w:ind w:right="360"/>
    </w:pPr>
  </w:p>
  <w:p w14:paraId="23873518" w14:textId="77777777" w:rsidR="003B09CB"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5F93" w14:textId="77777777" w:rsidR="00412C5A" w:rsidRDefault="00412C5A">
      <w:r>
        <w:separator/>
      </w:r>
    </w:p>
  </w:footnote>
  <w:footnote w:type="continuationSeparator" w:id="0">
    <w:p w14:paraId="6A2ED4AA" w14:textId="77777777" w:rsidR="00412C5A" w:rsidRDefault="0041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70FF" w14:textId="02096626" w:rsidR="001828BD" w:rsidRDefault="001828BD" w:rsidP="001828BD">
    <w:pPr>
      <w:pStyle w:val="Encabezado"/>
      <w:rPr>
        <w:rFonts w:ascii="Verdana" w:hAnsi="Verdana"/>
        <w:noProof/>
        <w:color w:val="616161"/>
        <w:sz w:val="14"/>
        <w:szCs w:val="14"/>
      </w:rPr>
    </w:pPr>
    <w:r>
      <w:rPr>
        <w:noProof/>
      </w:rPr>
      <w:drawing>
        <wp:anchor distT="0" distB="0" distL="114300" distR="114300" simplePos="0" relativeHeight="251658240" behindDoc="0" locked="0" layoutInCell="1" allowOverlap="1" wp14:anchorId="3B20B38C" wp14:editId="7094C451">
          <wp:simplePos x="0" y="0"/>
          <wp:positionH relativeFrom="column">
            <wp:posOffset>4480560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p>
  <w:p w14:paraId="4F779F22" w14:textId="77777777" w:rsidR="001828BD" w:rsidRPr="00260C43" w:rsidRDefault="001828BD" w:rsidP="001828BD">
    <w:pPr>
      <w:pStyle w:val="Encabezado"/>
    </w:pPr>
  </w:p>
  <w:p w14:paraId="054F2965" w14:textId="2754F7A0" w:rsidR="003B09CB" w:rsidRPr="001828BD" w:rsidRDefault="003B09CB" w:rsidP="001828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67AF"/>
    <w:multiLevelType w:val="hybridMultilevel"/>
    <w:tmpl w:val="0764FA5E"/>
    <w:lvl w:ilvl="0" w:tplc="160E84D8">
      <w:start w:val="6"/>
      <w:numFmt w:val="bullet"/>
      <w:lvlText w:val=""/>
      <w:lvlJc w:val="left"/>
      <w:pPr>
        <w:ind w:left="360" w:hanging="360"/>
      </w:pPr>
      <w:rPr>
        <w:rFonts w:ascii="Symbol" w:eastAsia="Arial"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4"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9A531C"/>
    <w:multiLevelType w:val="multilevel"/>
    <w:tmpl w:val="296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0"/>
  </w:num>
  <w:num w:numId="2" w16cid:durableId="1342783302">
    <w:abstractNumId w:val="3"/>
  </w:num>
  <w:num w:numId="3" w16cid:durableId="305208792">
    <w:abstractNumId w:val="2"/>
  </w:num>
  <w:num w:numId="4" w16cid:durableId="126244196">
    <w:abstractNumId w:val="1"/>
  </w:num>
  <w:num w:numId="5" w16cid:durableId="1245341768">
    <w:abstractNumId w:val="6"/>
  </w:num>
  <w:num w:numId="6" w16cid:durableId="597829097">
    <w:abstractNumId w:val="4"/>
  </w:num>
  <w:num w:numId="7" w16cid:durableId="395126067">
    <w:abstractNumId w:val="0"/>
  </w:num>
  <w:num w:numId="8" w16cid:durableId="1989552609">
    <w:abstractNumId w:val="0"/>
  </w:num>
  <w:num w:numId="9" w16cid:durableId="1917781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74CA"/>
    <w:rsid w:val="000101F6"/>
    <w:rsid w:val="00012535"/>
    <w:rsid w:val="0001254E"/>
    <w:rsid w:val="00017311"/>
    <w:rsid w:val="00017815"/>
    <w:rsid w:val="00021D85"/>
    <w:rsid w:val="0002514B"/>
    <w:rsid w:val="000258CF"/>
    <w:rsid w:val="00027C5D"/>
    <w:rsid w:val="00031AF2"/>
    <w:rsid w:val="00042488"/>
    <w:rsid w:val="00057E37"/>
    <w:rsid w:val="0006279A"/>
    <w:rsid w:val="00063579"/>
    <w:rsid w:val="0006407D"/>
    <w:rsid w:val="00066C14"/>
    <w:rsid w:val="00073974"/>
    <w:rsid w:val="00080697"/>
    <w:rsid w:val="00084B60"/>
    <w:rsid w:val="0008597E"/>
    <w:rsid w:val="000869A2"/>
    <w:rsid w:val="000906C2"/>
    <w:rsid w:val="00095B8E"/>
    <w:rsid w:val="000A1973"/>
    <w:rsid w:val="000B392D"/>
    <w:rsid w:val="000B4CE2"/>
    <w:rsid w:val="000D2B5A"/>
    <w:rsid w:val="000D6BCE"/>
    <w:rsid w:val="000E662A"/>
    <w:rsid w:val="000E71B3"/>
    <w:rsid w:val="000F1600"/>
    <w:rsid w:val="0011037D"/>
    <w:rsid w:val="0011351B"/>
    <w:rsid w:val="0012170F"/>
    <w:rsid w:val="00122E68"/>
    <w:rsid w:val="00123015"/>
    <w:rsid w:val="00124DEA"/>
    <w:rsid w:val="0012624A"/>
    <w:rsid w:val="001324E2"/>
    <w:rsid w:val="00132B7B"/>
    <w:rsid w:val="00137C4E"/>
    <w:rsid w:val="00142E26"/>
    <w:rsid w:val="00145F17"/>
    <w:rsid w:val="0014645D"/>
    <w:rsid w:val="00157558"/>
    <w:rsid w:val="0017076E"/>
    <w:rsid w:val="001741E5"/>
    <w:rsid w:val="00176074"/>
    <w:rsid w:val="00181155"/>
    <w:rsid w:val="001828BD"/>
    <w:rsid w:val="00183B91"/>
    <w:rsid w:val="0018572B"/>
    <w:rsid w:val="00186814"/>
    <w:rsid w:val="0019152E"/>
    <w:rsid w:val="00196895"/>
    <w:rsid w:val="001A2A76"/>
    <w:rsid w:val="001A6D0D"/>
    <w:rsid w:val="001B13C9"/>
    <w:rsid w:val="001B18D2"/>
    <w:rsid w:val="001B2737"/>
    <w:rsid w:val="001B39AD"/>
    <w:rsid w:val="001F6139"/>
    <w:rsid w:val="002059D2"/>
    <w:rsid w:val="00212129"/>
    <w:rsid w:val="002246BA"/>
    <w:rsid w:val="00226CF7"/>
    <w:rsid w:val="002300D6"/>
    <w:rsid w:val="00231D36"/>
    <w:rsid w:val="002331A8"/>
    <w:rsid w:val="002402D6"/>
    <w:rsid w:val="0024317A"/>
    <w:rsid w:val="00256F78"/>
    <w:rsid w:val="00266B5C"/>
    <w:rsid w:val="00275B27"/>
    <w:rsid w:val="00280DEC"/>
    <w:rsid w:val="002870C7"/>
    <w:rsid w:val="00294475"/>
    <w:rsid w:val="002A1736"/>
    <w:rsid w:val="002A3D92"/>
    <w:rsid w:val="002A60B9"/>
    <w:rsid w:val="002B2305"/>
    <w:rsid w:val="002B3386"/>
    <w:rsid w:val="002B3F52"/>
    <w:rsid w:val="002B461A"/>
    <w:rsid w:val="002C02D9"/>
    <w:rsid w:val="002D032D"/>
    <w:rsid w:val="002D69D8"/>
    <w:rsid w:val="002E289B"/>
    <w:rsid w:val="002F04D0"/>
    <w:rsid w:val="00300752"/>
    <w:rsid w:val="003019C9"/>
    <w:rsid w:val="0031261F"/>
    <w:rsid w:val="0032424C"/>
    <w:rsid w:val="00326125"/>
    <w:rsid w:val="00331A79"/>
    <w:rsid w:val="00332D02"/>
    <w:rsid w:val="00337FD2"/>
    <w:rsid w:val="003436D7"/>
    <w:rsid w:val="00344595"/>
    <w:rsid w:val="00346E05"/>
    <w:rsid w:val="003470C8"/>
    <w:rsid w:val="003509A5"/>
    <w:rsid w:val="0035236D"/>
    <w:rsid w:val="00356679"/>
    <w:rsid w:val="00357D6E"/>
    <w:rsid w:val="0036519F"/>
    <w:rsid w:val="0038103A"/>
    <w:rsid w:val="00381B00"/>
    <w:rsid w:val="00383F58"/>
    <w:rsid w:val="00393767"/>
    <w:rsid w:val="00396788"/>
    <w:rsid w:val="003972E9"/>
    <w:rsid w:val="003A214F"/>
    <w:rsid w:val="003A2B29"/>
    <w:rsid w:val="003B09CB"/>
    <w:rsid w:val="003B78B0"/>
    <w:rsid w:val="003C5FF2"/>
    <w:rsid w:val="003D0E85"/>
    <w:rsid w:val="003D4F9E"/>
    <w:rsid w:val="003D7EDE"/>
    <w:rsid w:val="003E08D8"/>
    <w:rsid w:val="003E34D9"/>
    <w:rsid w:val="003E3C5F"/>
    <w:rsid w:val="003E70B2"/>
    <w:rsid w:val="003F40DD"/>
    <w:rsid w:val="003F6C92"/>
    <w:rsid w:val="00401FD2"/>
    <w:rsid w:val="00404F84"/>
    <w:rsid w:val="00407AD8"/>
    <w:rsid w:val="00412C5A"/>
    <w:rsid w:val="0041402C"/>
    <w:rsid w:val="004162DB"/>
    <w:rsid w:val="00427501"/>
    <w:rsid w:val="0044035B"/>
    <w:rsid w:val="004410BF"/>
    <w:rsid w:val="00441AA5"/>
    <w:rsid w:val="004510D0"/>
    <w:rsid w:val="004612C2"/>
    <w:rsid w:val="00466751"/>
    <w:rsid w:val="00482387"/>
    <w:rsid w:val="00483F52"/>
    <w:rsid w:val="00492F25"/>
    <w:rsid w:val="0049413E"/>
    <w:rsid w:val="00494ED4"/>
    <w:rsid w:val="00497689"/>
    <w:rsid w:val="004B596E"/>
    <w:rsid w:val="004C0F40"/>
    <w:rsid w:val="004C2618"/>
    <w:rsid w:val="004C607E"/>
    <w:rsid w:val="004C7CAC"/>
    <w:rsid w:val="004D1FAF"/>
    <w:rsid w:val="004D7F17"/>
    <w:rsid w:val="004E23C4"/>
    <w:rsid w:val="004F0F49"/>
    <w:rsid w:val="004F52B5"/>
    <w:rsid w:val="004F67EC"/>
    <w:rsid w:val="00503649"/>
    <w:rsid w:val="00511BED"/>
    <w:rsid w:val="00512001"/>
    <w:rsid w:val="00512ACD"/>
    <w:rsid w:val="00515D51"/>
    <w:rsid w:val="005201CA"/>
    <w:rsid w:val="005209A4"/>
    <w:rsid w:val="00527688"/>
    <w:rsid w:val="00541A7B"/>
    <w:rsid w:val="00555D20"/>
    <w:rsid w:val="00561B53"/>
    <w:rsid w:val="00564AFB"/>
    <w:rsid w:val="00572170"/>
    <w:rsid w:val="0057357A"/>
    <w:rsid w:val="00576DDF"/>
    <w:rsid w:val="00577B92"/>
    <w:rsid w:val="00583013"/>
    <w:rsid w:val="005838B1"/>
    <w:rsid w:val="00584891"/>
    <w:rsid w:val="00590A1C"/>
    <w:rsid w:val="005939CD"/>
    <w:rsid w:val="00596187"/>
    <w:rsid w:val="005A44F4"/>
    <w:rsid w:val="005A7DB1"/>
    <w:rsid w:val="005A7E9C"/>
    <w:rsid w:val="005B3BC9"/>
    <w:rsid w:val="005B60FA"/>
    <w:rsid w:val="005C1E72"/>
    <w:rsid w:val="005C33ED"/>
    <w:rsid w:val="005D17CE"/>
    <w:rsid w:val="005D1AE9"/>
    <w:rsid w:val="005D5DC2"/>
    <w:rsid w:val="005D6FF5"/>
    <w:rsid w:val="005E0545"/>
    <w:rsid w:val="005E4173"/>
    <w:rsid w:val="005F0582"/>
    <w:rsid w:val="005F1509"/>
    <w:rsid w:val="005F1CEB"/>
    <w:rsid w:val="00601B68"/>
    <w:rsid w:val="006116D1"/>
    <w:rsid w:val="00635FD7"/>
    <w:rsid w:val="00636A81"/>
    <w:rsid w:val="00642CB5"/>
    <w:rsid w:val="0064466A"/>
    <w:rsid w:val="006515B4"/>
    <w:rsid w:val="00652342"/>
    <w:rsid w:val="006536BD"/>
    <w:rsid w:val="00655163"/>
    <w:rsid w:val="00670360"/>
    <w:rsid w:val="0067332C"/>
    <w:rsid w:val="00682AA2"/>
    <w:rsid w:val="006837DA"/>
    <w:rsid w:val="00687087"/>
    <w:rsid w:val="0068763B"/>
    <w:rsid w:val="00691081"/>
    <w:rsid w:val="00694B11"/>
    <w:rsid w:val="006972C0"/>
    <w:rsid w:val="006A61A8"/>
    <w:rsid w:val="006A7F27"/>
    <w:rsid w:val="006B0824"/>
    <w:rsid w:val="006B2084"/>
    <w:rsid w:val="006B6CC7"/>
    <w:rsid w:val="006B6EBB"/>
    <w:rsid w:val="006E5208"/>
    <w:rsid w:val="0070063C"/>
    <w:rsid w:val="00700FE8"/>
    <w:rsid w:val="00710857"/>
    <w:rsid w:val="00720BA0"/>
    <w:rsid w:val="0072269E"/>
    <w:rsid w:val="00724CBF"/>
    <w:rsid w:val="00731F03"/>
    <w:rsid w:val="00741C49"/>
    <w:rsid w:val="00743A94"/>
    <w:rsid w:val="00783F06"/>
    <w:rsid w:val="00795548"/>
    <w:rsid w:val="00796D76"/>
    <w:rsid w:val="007A0082"/>
    <w:rsid w:val="007A74B1"/>
    <w:rsid w:val="007B189E"/>
    <w:rsid w:val="007B59D1"/>
    <w:rsid w:val="007B679F"/>
    <w:rsid w:val="007C5E67"/>
    <w:rsid w:val="007D0CFF"/>
    <w:rsid w:val="007E0F84"/>
    <w:rsid w:val="007E2DCC"/>
    <w:rsid w:val="00801C70"/>
    <w:rsid w:val="008034B2"/>
    <w:rsid w:val="00805F5B"/>
    <w:rsid w:val="00825CE9"/>
    <w:rsid w:val="00830556"/>
    <w:rsid w:val="00830B2F"/>
    <w:rsid w:val="00836F8E"/>
    <w:rsid w:val="008405EA"/>
    <w:rsid w:val="00841381"/>
    <w:rsid w:val="00853C2E"/>
    <w:rsid w:val="00853DF2"/>
    <w:rsid w:val="00857C81"/>
    <w:rsid w:val="008764B5"/>
    <w:rsid w:val="00882FCB"/>
    <w:rsid w:val="00885750"/>
    <w:rsid w:val="00886F0C"/>
    <w:rsid w:val="00890443"/>
    <w:rsid w:val="00891830"/>
    <w:rsid w:val="0089190E"/>
    <w:rsid w:val="008979FE"/>
    <w:rsid w:val="008A4224"/>
    <w:rsid w:val="008B14CC"/>
    <w:rsid w:val="008B155B"/>
    <w:rsid w:val="008B3A52"/>
    <w:rsid w:val="008B3FDB"/>
    <w:rsid w:val="008B79F9"/>
    <w:rsid w:val="008C0114"/>
    <w:rsid w:val="008C4467"/>
    <w:rsid w:val="008C44D3"/>
    <w:rsid w:val="008C5AB0"/>
    <w:rsid w:val="008D3E86"/>
    <w:rsid w:val="008E0924"/>
    <w:rsid w:val="008E54AD"/>
    <w:rsid w:val="008E730B"/>
    <w:rsid w:val="008F16C4"/>
    <w:rsid w:val="008F1BD7"/>
    <w:rsid w:val="00903495"/>
    <w:rsid w:val="00911D5D"/>
    <w:rsid w:val="00913B8F"/>
    <w:rsid w:val="00914020"/>
    <w:rsid w:val="00924550"/>
    <w:rsid w:val="00927308"/>
    <w:rsid w:val="00931026"/>
    <w:rsid w:val="00932CB7"/>
    <w:rsid w:val="00936982"/>
    <w:rsid w:val="00942998"/>
    <w:rsid w:val="009436E0"/>
    <w:rsid w:val="009456E3"/>
    <w:rsid w:val="00945B98"/>
    <w:rsid w:val="00953877"/>
    <w:rsid w:val="00966C08"/>
    <w:rsid w:val="00970C74"/>
    <w:rsid w:val="0097165A"/>
    <w:rsid w:val="0097553E"/>
    <w:rsid w:val="00977BE7"/>
    <w:rsid w:val="00980A2D"/>
    <w:rsid w:val="0098143A"/>
    <w:rsid w:val="00981941"/>
    <w:rsid w:val="00982693"/>
    <w:rsid w:val="00991A90"/>
    <w:rsid w:val="009A0E87"/>
    <w:rsid w:val="009A1EB0"/>
    <w:rsid w:val="009A3526"/>
    <w:rsid w:val="009A3C34"/>
    <w:rsid w:val="009A6F8A"/>
    <w:rsid w:val="009B2C9F"/>
    <w:rsid w:val="009C2675"/>
    <w:rsid w:val="009C4562"/>
    <w:rsid w:val="009C610D"/>
    <w:rsid w:val="009D2871"/>
    <w:rsid w:val="009D2EF1"/>
    <w:rsid w:val="009D3CF7"/>
    <w:rsid w:val="009D4CEF"/>
    <w:rsid w:val="009E182B"/>
    <w:rsid w:val="009E4003"/>
    <w:rsid w:val="009E64A8"/>
    <w:rsid w:val="009F01EA"/>
    <w:rsid w:val="009F2A76"/>
    <w:rsid w:val="009F301A"/>
    <w:rsid w:val="009F7DB9"/>
    <w:rsid w:val="009F7E1C"/>
    <w:rsid w:val="00A01277"/>
    <w:rsid w:val="00A02C34"/>
    <w:rsid w:val="00A346D1"/>
    <w:rsid w:val="00A34A0D"/>
    <w:rsid w:val="00A41710"/>
    <w:rsid w:val="00A45200"/>
    <w:rsid w:val="00A458AD"/>
    <w:rsid w:val="00A50B4D"/>
    <w:rsid w:val="00A52E71"/>
    <w:rsid w:val="00A54B87"/>
    <w:rsid w:val="00A56426"/>
    <w:rsid w:val="00A574BF"/>
    <w:rsid w:val="00A7208B"/>
    <w:rsid w:val="00A75968"/>
    <w:rsid w:val="00A81170"/>
    <w:rsid w:val="00A84DE6"/>
    <w:rsid w:val="00AB24A2"/>
    <w:rsid w:val="00AB7073"/>
    <w:rsid w:val="00AC0FFA"/>
    <w:rsid w:val="00AE0726"/>
    <w:rsid w:val="00AF11D7"/>
    <w:rsid w:val="00AF2C8A"/>
    <w:rsid w:val="00AF735D"/>
    <w:rsid w:val="00B05CD9"/>
    <w:rsid w:val="00B05D48"/>
    <w:rsid w:val="00B116AF"/>
    <w:rsid w:val="00B12B48"/>
    <w:rsid w:val="00B14FF8"/>
    <w:rsid w:val="00B179B5"/>
    <w:rsid w:val="00B2218B"/>
    <w:rsid w:val="00B22902"/>
    <w:rsid w:val="00B32DA9"/>
    <w:rsid w:val="00B33B9D"/>
    <w:rsid w:val="00B5158D"/>
    <w:rsid w:val="00B53230"/>
    <w:rsid w:val="00B60986"/>
    <w:rsid w:val="00B628EE"/>
    <w:rsid w:val="00B8069B"/>
    <w:rsid w:val="00B860E6"/>
    <w:rsid w:val="00B87F8E"/>
    <w:rsid w:val="00B963D0"/>
    <w:rsid w:val="00BB1160"/>
    <w:rsid w:val="00BB39D9"/>
    <w:rsid w:val="00BB66B8"/>
    <w:rsid w:val="00BC0EE7"/>
    <w:rsid w:val="00BC45B7"/>
    <w:rsid w:val="00BC46BE"/>
    <w:rsid w:val="00BD5663"/>
    <w:rsid w:val="00BE22AA"/>
    <w:rsid w:val="00BF2547"/>
    <w:rsid w:val="00BF2A9C"/>
    <w:rsid w:val="00BF5E11"/>
    <w:rsid w:val="00C004B0"/>
    <w:rsid w:val="00C02974"/>
    <w:rsid w:val="00C122AC"/>
    <w:rsid w:val="00C41541"/>
    <w:rsid w:val="00C4624D"/>
    <w:rsid w:val="00C46CB3"/>
    <w:rsid w:val="00C536C9"/>
    <w:rsid w:val="00C549B2"/>
    <w:rsid w:val="00C61314"/>
    <w:rsid w:val="00C7314E"/>
    <w:rsid w:val="00C73CB1"/>
    <w:rsid w:val="00C74D41"/>
    <w:rsid w:val="00C82EFD"/>
    <w:rsid w:val="00C83097"/>
    <w:rsid w:val="00C91CCE"/>
    <w:rsid w:val="00C926CF"/>
    <w:rsid w:val="00C9362C"/>
    <w:rsid w:val="00C97060"/>
    <w:rsid w:val="00CA0905"/>
    <w:rsid w:val="00CA50B7"/>
    <w:rsid w:val="00CB6B70"/>
    <w:rsid w:val="00CC1F87"/>
    <w:rsid w:val="00CC3472"/>
    <w:rsid w:val="00CF74FF"/>
    <w:rsid w:val="00D02D48"/>
    <w:rsid w:val="00D05483"/>
    <w:rsid w:val="00D206CE"/>
    <w:rsid w:val="00D27829"/>
    <w:rsid w:val="00D27B5C"/>
    <w:rsid w:val="00D3571D"/>
    <w:rsid w:val="00D62DA8"/>
    <w:rsid w:val="00D63AB2"/>
    <w:rsid w:val="00D64482"/>
    <w:rsid w:val="00D7168F"/>
    <w:rsid w:val="00D73001"/>
    <w:rsid w:val="00D7641E"/>
    <w:rsid w:val="00D85DD3"/>
    <w:rsid w:val="00D865AD"/>
    <w:rsid w:val="00D90EF8"/>
    <w:rsid w:val="00D92B75"/>
    <w:rsid w:val="00DA225F"/>
    <w:rsid w:val="00DB0F1B"/>
    <w:rsid w:val="00DB3544"/>
    <w:rsid w:val="00DB45BA"/>
    <w:rsid w:val="00DB5EEF"/>
    <w:rsid w:val="00DC304A"/>
    <w:rsid w:val="00DC6709"/>
    <w:rsid w:val="00DD53A1"/>
    <w:rsid w:val="00DE381F"/>
    <w:rsid w:val="00DE502B"/>
    <w:rsid w:val="00DF328E"/>
    <w:rsid w:val="00DF4C04"/>
    <w:rsid w:val="00DF6943"/>
    <w:rsid w:val="00E10601"/>
    <w:rsid w:val="00E12E1F"/>
    <w:rsid w:val="00E13BED"/>
    <w:rsid w:val="00E14B59"/>
    <w:rsid w:val="00E269C3"/>
    <w:rsid w:val="00E36DF7"/>
    <w:rsid w:val="00E375F1"/>
    <w:rsid w:val="00E4488C"/>
    <w:rsid w:val="00E64F9B"/>
    <w:rsid w:val="00E66280"/>
    <w:rsid w:val="00E675C5"/>
    <w:rsid w:val="00E845CF"/>
    <w:rsid w:val="00E91772"/>
    <w:rsid w:val="00EA76C6"/>
    <w:rsid w:val="00EA7C7E"/>
    <w:rsid w:val="00EB283B"/>
    <w:rsid w:val="00ED24D6"/>
    <w:rsid w:val="00ED4D55"/>
    <w:rsid w:val="00ED543B"/>
    <w:rsid w:val="00ED788C"/>
    <w:rsid w:val="00EE2B53"/>
    <w:rsid w:val="00EE4BA5"/>
    <w:rsid w:val="00EE7830"/>
    <w:rsid w:val="00EF14B4"/>
    <w:rsid w:val="00F00E57"/>
    <w:rsid w:val="00F03D39"/>
    <w:rsid w:val="00F0652C"/>
    <w:rsid w:val="00F0730E"/>
    <w:rsid w:val="00F12D89"/>
    <w:rsid w:val="00F12F38"/>
    <w:rsid w:val="00F24D52"/>
    <w:rsid w:val="00F26D2A"/>
    <w:rsid w:val="00F34988"/>
    <w:rsid w:val="00F3670F"/>
    <w:rsid w:val="00F4008A"/>
    <w:rsid w:val="00F42B56"/>
    <w:rsid w:val="00F432F1"/>
    <w:rsid w:val="00F45079"/>
    <w:rsid w:val="00F4564F"/>
    <w:rsid w:val="00F45C5A"/>
    <w:rsid w:val="00F5395E"/>
    <w:rsid w:val="00F5559A"/>
    <w:rsid w:val="00F55933"/>
    <w:rsid w:val="00F72967"/>
    <w:rsid w:val="00F73932"/>
    <w:rsid w:val="00F73A73"/>
    <w:rsid w:val="00F74E6C"/>
    <w:rsid w:val="00F761C4"/>
    <w:rsid w:val="00F8760C"/>
    <w:rsid w:val="00F87D9D"/>
    <w:rsid w:val="00F90F89"/>
    <w:rsid w:val="00F93A2E"/>
    <w:rsid w:val="00F95E09"/>
    <w:rsid w:val="00F963D2"/>
    <w:rsid w:val="00F965C9"/>
    <w:rsid w:val="00FA2A48"/>
    <w:rsid w:val="00FB4490"/>
    <w:rsid w:val="00FB561C"/>
    <w:rsid w:val="00FB69D7"/>
    <w:rsid w:val="00FC3937"/>
    <w:rsid w:val="00FC7D4B"/>
    <w:rsid w:val="00FD7C01"/>
    <w:rsid w:val="00FE0A8D"/>
    <w:rsid w:val="00FE4EFF"/>
    <w:rsid w:val="00FF00F2"/>
    <w:rsid w:val="00FF1C0C"/>
    <w:rsid w:val="00FF4E94"/>
    <w:rsid w:val="00FF5770"/>
    <w:rsid w:val="011BAD0B"/>
    <w:rsid w:val="045F43CE"/>
    <w:rsid w:val="065723D0"/>
    <w:rsid w:val="06EEA268"/>
    <w:rsid w:val="1753E28B"/>
    <w:rsid w:val="1936EB0A"/>
    <w:rsid w:val="1C12E988"/>
    <w:rsid w:val="1D6999A9"/>
    <w:rsid w:val="2A5C701E"/>
    <w:rsid w:val="31F23AC6"/>
    <w:rsid w:val="344E570B"/>
    <w:rsid w:val="34F44525"/>
    <w:rsid w:val="3570C783"/>
    <w:rsid w:val="3ABF3597"/>
    <w:rsid w:val="3FF3FF35"/>
    <w:rsid w:val="457A47A0"/>
    <w:rsid w:val="466384D6"/>
    <w:rsid w:val="4C69C90D"/>
    <w:rsid w:val="55E2B67A"/>
    <w:rsid w:val="561974CA"/>
    <w:rsid w:val="5EB084FE"/>
    <w:rsid w:val="6128A392"/>
    <w:rsid w:val="6782CE37"/>
    <w:rsid w:val="697D2F41"/>
    <w:rsid w:val="6F30D533"/>
    <w:rsid w:val="7290ADB3"/>
    <w:rsid w:val="73A5497D"/>
    <w:rsid w:val="74424E94"/>
    <w:rsid w:val="789D2279"/>
    <w:rsid w:val="7A7F8CC5"/>
    <w:rsid w:val="7E6FACFB"/>
    <w:rsid w:val="7EE3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paragraph" w:styleId="Ttulo4">
    <w:name w:val="heading 4"/>
    <w:basedOn w:val="Normal"/>
    <w:next w:val="Normal"/>
    <w:link w:val="Ttulo4Car"/>
    <w:uiPriority w:val="9"/>
    <w:semiHidden/>
    <w:unhideWhenUsed/>
    <w:qFormat/>
    <w:rsid w:val="005721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123015"/>
    <w:pPr>
      <w:pBdr>
        <w:bottom w:val="single" w:sz="6" w:space="1" w:color="auto"/>
      </w:pBdr>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23015"/>
    <w:rPr>
      <w:rFonts w:ascii="Arial" w:eastAsia="Times New Roman" w:hAnsi="Arial" w:cs="Arial"/>
      <w:vanish/>
      <w:sz w:val="16"/>
      <w:szCs w:val="16"/>
      <w:lang w:eastAsia="es-ES"/>
    </w:rPr>
  </w:style>
  <w:style w:type="paragraph" w:styleId="Revisin">
    <w:name w:val="Revision"/>
    <w:hidden/>
    <w:uiPriority w:val="99"/>
    <w:semiHidden/>
    <w:rsid w:val="0019152E"/>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5D17CE"/>
    <w:rPr>
      <w:b/>
      <w:bCs/>
      <w:lang w:eastAsia="es-ES"/>
    </w:rPr>
  </w:style>
  <w:style w:type="character" w:customStyle="1" w:styleId="AsuntodelcomentarioCar">
    <w:name w:val="Asunto del comentario Car"/>
    <w:basedOn w:val="TextocomentarioCar"/>
    <w:link w:val="Asuntodelcomentario"/>
    <w:uiPriority w:val="99"/>
    <w:semiHidden/>
    <w:rsid w:val="005D17CE"/>
    <w:rPr>
      <w:rFonts w:ascii="Times New Roman" w:eastAsia="MS Mincho" w:hAnsi="Times New Roman" w:cs="Times New Roman"/>
      <w:b/>
      <w:bCs/>
      <w:sz w:val="20"/>
      <w:szCs w:val="20"/>
      <w:lang w:eastAsia="es-ES"/>
    </w:rPr>
  </w:style>
  <w:style w:type="character" w:customStyle="1" w:styleId="Ttulo4Car">
    <w:name w:val="Título 4 Car"/>
    <w:basedOn w:val="Fuentedeprrafopredeter"/>
    <w:link w:val="Ttulo4"/>
    <w:uiPriority w:val="9"/>
    <w:semiHidden/>
    <w:rsid w:val="00572170"/>
    <w:rPr>
      <w:rFonts w:asciiTheme="majorHAnsi" w:eastAsiaTheme="majorEastAsia" w:hAnsiTheme="majorHAnsi" w:cstheme="majorBidi"/>
      <w:i/>
      <w:iCs/>
      <w:color w:val="2F5496"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742">
      <w:bodyDiv w:val="1"/>
      <w:marLeft w:val="0"/>
      <w:marRight w:val="0"/>
      <w:marTop w:val="0"/>
      <w:marBottom w:val="0"/>
      <w:divBdr>
        <w:top w:val="none" w:sz="0" w:space="0" w:color="auto"/>
        <w:left w:val="none" w:sz="0" w:space="0" w:color="auto"/>
        <w:bottom w:val="none" w:sz="0" w:space="0" w:color="auto"/>
        <w:right w:val="none" w:sz="0" w:space="0" w:color="auto"/>
      </w:divBdr>
    </w:div>
    <w:div w:id="38289123">
      <w:bodyDiv w:val="1"/>
      <w:marLeft w:val="0"/>
      <w:marRight w:val="0"/>
      <w:marTop w:val="0"/>
      <w:marBottom w:val="0"/>
      <w:divBdr>
        <w:top w:val="none" w:sz="0" w:space="0" w:color="auto"/>
        <w:left w:val="none" w:sz="0" w:space="0" w:color="auto"/>
        <w:bottom w:val="none" w:sz="0" w:space="0" w:color="auto"/>
        <w:right w:val="none" w:sz="0" w:space="0" w:color="auto"/>
      </w:divBdr>
    </w:div>
    <w:div w:id="8561636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55852077">
      <w:bodyDiv w:val="1"/>
      <w:marLeft w:val="0"/>
      <w:marRight w:val="0"/>
      <w:marTop w:val="0"/>
      <w:marBottom w:val="0"/>
      <w:divBdr>
        <w:top w:val="none" w:sz="0" w:space="0" w:color="auto"/>
        <w:left w:val="none" w:sz="0" w:space="0" w:color="auto"/>
        <w:bottom w:val="none" w:sz="0" w:space="0" w:color="auto"/>
        <w:right w:val="none" w:sz="0" w:space="0" w:color="auto"/>
      </w:divBdr>
    </w:div>
    <w:div w:id="163859236">
      <w:bodyDiv w:val="1"/>
      <w:marLeft w:val="0"/>
      <w:marRight w:val="0"/>
      <w:marTop w:val="0"/>
      <w:marBottom w:val="0"/>
      <w:divBdr>
        <w:top w:val="none" w:sz="0" w:space="0" w:color="auto"/>
        <w:left w:val="none" w:sz="0" w:space="0" w:color="auto"/>
        <w:bottom w:val="none" w:sz="0" w:space="0" w:color="auto"/>
        <w:right w:val="none" w:sz="0" w:space="0" w:color="auto"/>
      </w:divBdr>
    </w:div>
    <w:div w:id="180317411">
      <w:bodyDiv w:val="1"/>
      <w:marLeft w:val="0"/>
      <w:marRight w:val="0"/>
      <w:marTop w:val="0"/>
      <w:marBottom w:val="0"/>
      <w:divBdr>
        <w:top w:val="none" w:sz="0" w:space="0" w:color="auto"/>
        <w:left w:val="none" w:sz="0" w:space="0" w:color="auto"/>
        <w:bottom w:val="none" w:sz="0" w:space="0" w:color="auto"/>
        <w:right w:val="none" w:sz="0" w:space="0" w:color="auto"/>
      </w:divBdr>
    </w:div>
    <w:div w:id="181746330">
      <w:bodyDiv w:val="1"/>
      <w:marLeft w:val="0"/>
      <w:marRight w:val="0"/>
      <w:marTop w:val="0"/>
      <w:marBottom w:val="0"/>
      <w:divBdr>
        <w:top w:val="none" w:sz="0" w:space="0" w:color="auto"/>
        <w:left w:val="none" w:sz="0" w:space="0" w:color="auto"/>
        <w:bottom w:val="none" w:sz="0" w:space="0" w:color="auto"/>
        <w:right w:val="none" w:sz="0" w:space="0" w:color="auto"/>
      </w:divBdr>
    </w:div>
    <w:div w:id="303435184">
      <w:bodyDiv w:val="1"/>
      <w:marLeft w:val="0"/>
      <w:marRight w:val="0"/>
      <w:marTop w:val="0"/>
      <w:marBottom w:val="0"/>
      <w:divBdr>
        <w:top w:val="none" w:sz="0" w:space="0" w:color="auto"/>
        <w:left w:val="none" w:sz="0" w:space="0" w:color="auto"/>
        <w:bottom w:val="none" w:sz="0" w:space="0" w:color="auto"/>
        <w:right w:val="none" w:sz="0" w:space="0" w:color="auto"/>
      </w:divBdr>
    </w:div>
    <w:div w:id="315496941">
      <w:bodyDiv w:val="1"/>
      <w:marLeft w:val="0"/>
      <w:marRight w:val="0"/>
      <w:marTop w:val="0"/>
      <w:marBottom w:val="0"/>
      <w:divBdr>
        <w:top w:val="none" w:sz="0" w:space="0" w:color="auto"/>
        <w:left w:val="none" w:sz="0" w:space="0" w:color="auto"/>
        <w:bottom w:val="none" w:sz="0" w:space="0" w:color="auto"/>
        <w:right w:val="none" w:sz="0" w:space="0" w:color="auto"/>
      </w:divBdr>
    </w:div>
    <w:div w:id="32324677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8972841">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57455238">
      <w:bodyDiv w:val="1"/>
      <w:marLeft w:val="0"/>
      <w:marRight w:val="0"/>
      <w:marTop w:val="0"/>
      <w:marBottom w:val="0"/>
      <w:divBdr>
        <w:top w:val="none" w:sz="0" w:space="0" w:color="auto"/>
        <w:left w:val="none" w:sz="0" w:space="0" w:color="auto"/>
        <w:bottom w:val="none" w:sz="0" w:space="0" w:color="auto"/>
        <w:right w:val="none" w:sz="0" w:space="0" w:color="auto"/>
      </w:divBdr>
    </w:div>
    <w:div w:id="469633282">
      <w:bodyDiv w:val="1"/>
      <w:marLeft w:val="0"/>
      <w:marRight w:val="0"/>
      <w:marTop w:val="0"/>
      <w:marBottom w:val="0"/>
      <w:divBdr>
        <w:top w:val="none" w:sz="0" w:space="0" w:color="auto"/>
        <w:left w:val="none" w:sz="0" w:space="0" w:color="auto"/>
        <w:bottom w:val="none" w:sz="0" w:space="0" w:color="auto"/>
        <w:right w:val="none" w:sz="0" w:space="0" w:color="auto"/>
      </w:divBdr>
    </w:div>
    <w:div w:id="476653772">
      <w:bodyDiv w:val="1"/>
      <w:marLeft w:val="0"/>
      <w:marRight w:val="0"/>
      <w:marTop w:val="0"/>
      <w:marBottom w:val="0"/>
      <w:divBdr>
        <w:top w:val="none" w:sz="0" w:space="0" w:color="auto"/>
        <w:left w:val="none" w:sz="0" w:space="0" w:color="auto"/>
        <w:bottom w:val="none" w:sz="0" w:space="0" w:color="auto"/>
        <w:right w:val="none" w:sz="0" w:space="0" w:color="auto"/>
      </w:divBdr>
      <w:divsChild>
        <w:div w:id="915553303">
          <w:marLeft w:val="0"/>
          <w:marRight w:val="0"/>
          <w:marTop w:val="0"/>
          <w:marBottom w:val="0"/>
          <w:divBdr>
            <w:top w:val="single" w:sz="2" w:space="0" w:color="D9D9E3"/>
            <w:left w:val="single" w:sz="2" w:space="0" w:color="D9D9E3"/>
            <w:bottom w:val="single" w:sz="2" w:space="0" w:color="D9D9E3"/>
            <w:right w:val="single" w:sz="2" w:space="0" w:color="D9D9E3"/>
          </w:divBdr>
          <w:divsChild>
            <w:div w:id="945235432">
              <w:marLeft w:val="0"/>
              <w:marRight w:val="0"/>
              <w:marTop w:val="0"/>
              <w:marBottom w:val="0"/>
              <w:divBdr>
                <w:top w:val="single" w:sz="2" w:space="0" w:color="D9D9E3"/>
                <w:left w:val="single" w:sz="2" w:space="0" w:color="D9D9E3"/>
                <w:bottom w:val="single" w:sz="2" w:space="0" w:color="D9D9E3"/>
                <w:right w:val="single" w:sz="2" w:space="0" w:color="D9D9E3"/>
              </w:divBdr>
              <w:divsChild>
                <w:div w:id="1299458819">
                  <w:marLeft w:val="0"/>
                  <w:marRight w:val="0"/>
                  <w:marTop w:val="0"/>
                  <w:marBottom w:val="0"/>
                  <w:divBdr>
                    <w:top w:val="single" w:sz="2" w:space="0" w:color="D9D9E3"/>
                    <w:left w:val="single" w:sz="2" w:space="0" w:color="D9D9E3"/>
                    <w:bottom w:val="single" w:sz="2" w:space="0" w:color="D9D9E3"/>
                    <w:right w:val="single" w:sz="2" w:space="0" w:color="D9D9E3"/>
                  </w:divBdr>
                  <w:divsChild>
                    <w:div w:id="382876451">
                      <w:marLeft w:val="0"/>
                      <w:marRight w:val="0"/>
                      <w:marTop w:val="0"/>
                      <w:marBottom w:val="0"/>
                      <w:divBdr>
                        <w:top w:val="single" w:sz="2" w:space="0" w:color="D9D9E3"/>
                        <w:left w:val="single" w:sz="2" w:space="0" w:color="D9D9E3"/>
                        <w:bottom w:val="single" w:sz="2" w:space="0" w:color="D9D9E3"/>
                        <w:right w:val="single" w:sz="2" w:space="0" w:color="D9D9E3"/>
                      </w:divBdr>
                      <w:divsChild>
                        <w:div w:id="1799176988">
                          <w:marLeft w:val="0"/>
                          <w:marRight w:val="0"/>
                          <w:marTop w:val="0"/>
                          <w:marBottom w:val="0"/>
                          <w:divBdr>
                            <w:top w:val="single" w:sz="2" w:space="0" w:color="D9D9E3"/>
                            <w:left w:val="single" w:sz="2" w:space="0" w:color="D9D9E3"/>
                            <w:bottom w:val="single" w:sz="2" w:space="0" w:color="D9D9E3"/>
                            <w:right w:val="single" w:sz="2" w:space="0" w:color="D9D9E3"/>
                          </w:divBdr>
                          <w:divsChild>
                            <w:div w:id="1764956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997905">
                                  <w:marLeft w:val="0"/>
                                  <w:marRight w:val="0"/>
                                  <w:marTop w:val="0"/>
                                  <w:marBottom w:val="0"/>
                                  <w:divBdr>
                                    <w:top w:val="single" w:sz="2" w:space="0" w:color="D9D9E3"/>
                                    <w:left w:val="single" w:sz="2" w:space="0" w:color="D9D9E3"/>
                                    <w:bottom w:val="single" w:sz="2" w:space="0" w:color="D9D9E3"/>
                                    <w:right w:val="single" w:sz="2" w:space="0" w:color="D9D9E3"/>
                                  </w:divBdr>
                                  <w:divsChild>
                                    <w:div w:id="926504532">
                                      <w:marLeft w:val="0"/>
                                      <w:marRight w:val="0"/>
                                      <w:marTop w:val="0"/>
                                      <w:marBottom w:val="0"/>
                                      <w:divBdr>
                                        <w:top w:val="single" w:sz="2" w:space="0" w:color="D9D9E3"/>
                                        <w:left w:val="single" w:sz="2" w:space="0" w:color="D9D9E3"/>
                                        <w:bottom w:val="single" w:sz="2" w:space="0" w:color="D9D9E3"/>
                                        <w:right w:val="single" w:sz="2" w:space="0" w:color="D9D9E3"/>
                                      </w:divBdr>
                                      <w:divsChild>
                                        <w:div w:id="1131901484">
                                          <w:marLeft w:val="0"/>
                                          <w:marRight w:val="0"/>
                                          <w:marTop w:val="0"/>
                                          <w:marBottom w:val="0"/>
                                          <w:divBdr>
                                            <w:top w:val="single" w:sz="2" w:space="0" w:color="D9D9E3"/>
                                            <w:left w:val="single" w:sz="2" w:space="0" w:color="D9D9E3"/>
                                            <w:bottom w:val="single" w:sz="2" w:space="0" w:color="D9D9E3"/>
                                            <w:right w:val="single" w:sz="2" w:space="0" w:color="D9D9E3"/>
                                          </w:divBdr>
                                          <w:divsChild>
                                            <w:div w:id="4524912">
                                              <w:marLeft w:val="0"/>
                                              <w:marRight w:val="0"/>
                                              <w:marTop w:val="0"/>
                                              <w:marBottom w:val="0"/>
                                              <w:divBdr>
                                                <w:top w:val="single" w:sz="2" w:space="0" w:color="D9D9E3"/>
                                                <w:left w:val="single" w:sz="2" w:space="0" w:color="D9D9E3"/>
                                                <w:bottom w:val="single" w:sz="2" w:space="0" w:color="D9D9E3"/>
                                                <w:right w:val="single" w:sz="2" w:space="0" w:color="D9D9E3"/>
                                              </w:divBdr>
                                              <w:divsChild>
                                                <w:div w:id="590823352">
                                                  <w:marLeft w:val="0"/>
                                                  <w:marRight w:val="0"/>
                                                  <w:marTop w:val="0"/>
                                                  <w:marBottom w:val="0"/>
                                                  <w:divBdr>
                                                    <w:top w:val="single" w:sz="2" w:space="0" w:color="D9D9E3"/>
                                                    <w:left w:val="single" w:sz="2" w:space="0" w:color="D9D9E3"/>
                                                    <w:bottom w:val="single" w:sz="2" w:space="0" w:color="D9D9E3"/>
                                                    <w:right w:val="single" w:sz="2" w:space="0" w:color="D9D9E3"/>
                                                  </w:divBdr>
                                                  <w:divsChild>
                                                    <w:div w:id="832257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884134">
          <w:marLeft w:val="0"/>
          <w:marRight w:val="0"/>
          <w:marTop w:val="0"/>
          <w:marBottom w:val="0"/>
          <w:divBdr>
            <w:top w:val="none" w:sz="0" w:space="0" w:color="auto"/>
            <w:left w:val="none" w:sz="0" w:space="0" w:color="auto"/>
            <w:bottom w:val="none" w:sz="0" w:space="0" w:color="auto"/>
            <w:right w:val="none" w:sz="0" w:space="0" w:color="auto"/>
          </w:divBdr>
        </w:div>
      </w:divsChild>
    </w:div>
    <w:div w:id="523516708">
      <w:bodyDiv w:val="1"/>
      <w:marLeft w:val="0"/>
      <w:marRight w:val="0"/>
      <w:marTop w:val="0"/>
      <w:marBottom w:val="0"/>
      <w:divBdr>
        <w:top w:val="none" w:sz="0" w:space="0" w:color="auto"/>
        <w:left w:val="none" w:sz="0" w:space="0" w:color="auto"/>
        <w:bottom w:val="none" w:sz="0" w:space="0" w:color="auto"/>
        <w:right w:val="none" w:sz="0" w:space="0" w:color="auto"/>
      </w:divBdr>
    </w:div>
    <w:div w:id="569120476">
      <w:bodyDiv w:val="1"/>
      <w:marLeft w:val="0"/>
      <w:marRight w:val="0"/>
      <w:marTop w:val="0"/>
      <w:marBottom w:val="0"/>
      <w:divBdr>
        <w:top w:val="none" w:sz="0" w:space="0" w:color="auto"/>
        <w:left w:val="none" w:sz="0" w:space="0" w:color="auto"/>
        <w:bottom w:val="none" w:sz="0" w:space="0" w:color="auto"/>
        <w:right w:val="none" w:sz="0" w:space="0" w:color="auto"/>
      </w:divBdr>
    </w:div>
    <w:div w:id="582685774">
      <w:bodyDiv w:val="1"/>
      <w:marLeft w:val="0"/>
      <w:marRight w:val="0"/>
      <w:marTop w:val="0"/>
      <w:marBottom w:val="0"/>
      <w:divBdr>
        <w:top w:val="none" w:sz="0" w:space="0" w:color="auto"/>
        <w:left w:val="none" w:sz="0" w:space="0" w:color="auto"/>
        <w:bottom w:val="none" w:sz="0" w:space="0" w:color="auto"/>
        <w:right w:val="none" w:sz="0" w:space="0" w:color="auto"/>
      </w:divBdr>
    </w:div>
    <w:div w:id="595290859">
      <w:bodyDiv w:val="1"/>
      <w:marLeft w:val="0"/>
      <w:marRight w:val="0"/>
      <w:marTop w:val="0"/>
      <w:marBottom w:val="0"/>
      <w:divBdr>
        <w:top w:val="none" w:sz="0" w:space="0" w:color="auto"/>
        <w:left w:val="none" w:sz="0" w:space="0" w:color="auto"/>
        <w:bottom w:val="none" w:sz="0" w:space="0" w:color="auto"/>
        <w:right w:val="none" w:sz="0" w:space="0" w:color="auto"/>
      </w:divBdr>
    </w:div>
    <w:div w:id="619188871">
      <w:bodyDiv w:val="1"/>
      <w:marLeft w:val="0"/>
      <w:marRight w:val="0"/>
      <w:marTop w:val="0"/>
      <w:marBottom w:val="0"/>
      <w:divBdr>
        <w:top w:val="none" w:sz="0" w:space="0" w:color="auto"/>
        <w:left w:val="none" w:sz="0" w:space="0" w:color="auto"/>
        <w:bottom w:val="none" w:sz="0" w:space="0" w:color="auto"/>
        <w:right w:val="none" w:sz="0" w:space="0" w:color="auto"/>
      </w:divBdr>
    </w:div>
    <w:div w:id="630213393">
      <w:bodyDiv w:val="1"/>
      <w:marLeft w:val="0"/>
      <w:marRight w:val="0"/>
      <w:marTop w:val="0"/>
      <w:marBottom w:val="0"/>
      <w:divBdr>
        <w:top w:val="none" w:sz="0" w:space="0" w:color="auto"/>
        <w:left w:val="none" w:sz="0" w:space="0" w:color="auto"/>
        <w:bottom w:val="none" w:sz="0" w:space="0" w:color="auto"/>
        <w:right w:val="none" w:sz="0" w:space="0" w:color="auto"/>
      </w:divBdr>
    </w:div>
    <w:div w:id="644310588">
      <w:bodyDiv w:val="1"/>
      <w:marLeft w:val="0"/>
      <w:marRight w:val="0"/>
      <w:marTop w:val="0"/>
      <w:marBottom w:val="0"/>
      <w:divBdr>
        <w:top w:val="none" w:sz="0" w:space="0" w:color="auto"/>
        <w:left w:val="none" w:sz="0" w:space="0" w:color="auto"/>
        <w:bottom w:val="none" w:sz="0" w:space="0" w:color="auto"/>
        <w:right w:val="none" w:sz="0" w:space="0" w:color="auto"/>
      </w:divBdr>
    </w:div>
    <w:div w:id="648559298">
      <w:bodyDiv w:val="1"/>
      <w:marLeft w:val="0"/>
      <w:marRight w:val="0"/>
      <w:marTop w:val="0"/>
      <w:marBottom w:val="0"/>
      <w:divBdr>
        <w:top w:val="none" w:sz="0" w:space="0" w:color="auto"/>
        <w:left w:val="none" w:sz="0" w:space="0" w:color="auto"/>
        <w:bottom w:val="none" w:sz="0" w:space="0" w:color="auto"/>
        <w:right w:val="none" w:sz="0" w:space="0" w:color="auto"/>
      </w:divBdr>
    </w:div>
    <w:div w:id="67930869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759716014">
      <w:bodyDiv w:val="1"/>
      <w:marLeft w:val="0"/>
      <w:marRight w:val="0"/>
      <w:marTop w:val="0"/>
      <w:marBottom w:val="0"/>
      <w:divBdr>
        <w:top w:val="none" w:sz="0" w:space="0" w:color="auto"/>
        <w:left w:val="none" w:sz="0" w:space="0" w:color="auto"/>
        <w:bottom w:val="none" w:sz="0" w:space="0" w:color="auto"/>
        <w:right w:val="none" w:sz="0" w:space="0" w:color="auto"/>
      </w:divBdr>
    </w:div>
    <w:div w:id="767505954">
      <w:bodyDiv w:val="1"/>
      <w:marLeft w:val="0"/>
      <w:marRight w:val="0"/>
      <w:marTop w:val="0"/>
      <w:marBottom w:val="0"/>
      <w:divBdr>
        <w:top w:val="none" w:sz="0" w:space="0" w:color="auto"/>
        <w:left w:val="none" w:sz="0" w:space="0" w:color="auto"/>
        <w:bottom w:val="none" w:sz="0" w:space="0" w:color="auto"/>
        <w:right w:val="none" w:sz="0" w:space="0" w:color="auto"/>
      </w:divBdr>
    </w:div>
    <w:div w:id="77884157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42819627">
      <w:bodyDiv w:val="1"/>
      <w:marLeft w:val="0"/>
      <w:marRight w:val="0"/>
      <w:marTop w:val="0"/>
      <w:marBottom w:val="0"/>
      <w:divBdr>
        <w:top w:val="none" w:sz="0" w:space="0" w:color="auto"/>
        <w:left w:val="none" w:sz="0" w:space="0" w:color="auto"/>
        <w:bottom w:val="none" w:sz="0" w:space="0" w:color="auto"/>
        <w:right w:val="none" w:sz="0" w:space="0" w:color="auto"/>
      </w:divBdr>
    </w:div>
    <w:div w:id="847015814">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41454728">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1085747">
      <w:bodyDiv w:val="1"/>
      <w:marLeft w:val="0"/>
      <w:marRight w:val="0"/>
      <w:marTop w:val="0"/>
      <w:marBottom w:val="0"/>
      <w:divBdr>
        <w:top w:val="none" w:sz="0" w:space="0" w:color="auto"/>
        <w:left w:val="none" w:sz="0" w:space="0" w:color="auto"/>
        <w:bottom w:val="none" w:sz="0" w:space="0" w:color="auto"/>
        <w:right w:val="none" w:sz="0" w:space="0" w:color="auto"/>
      </w:divBdr>
    </w:div>
    <w:div w:id="1021276977">
      <w:bodyDiv w:val="1"/>
      <w:marLeft w:val="0"/>
      <w:marRight w:val="0"/>
      <w:marTop w:val="0"/>
      <w:marBottom w:val="0"/>
      <w:divBdr>
        <w:top w:val="none" w:sz="0" w:space="0" w:color="auto"/>
        <w:left w:val="none" w:sz="0" w:space="0" w:color="auto"/>
        <w:bottom w:val="none" w:sz="0" w:space="0" w:color="auto"/>
        <w:right w:val="none" w:sz="0" w:space="0" w:color="auto"/>
      </w:divBdr>
      <w:divsChild>
        <w:div w:id="829442275">
          <w:marLeft w:val="0"/>
          <w:marRight w:val="0"/>
          <w:marTop w:val="0"/>
          <w:marBottom w:val="0"/>
          <w:divBdr>
            <w:top w:val="none" w:sz="0" w:space="0" w:color="auto"/>
            <w:left w:val="none" w:sz="0" w:space="0" w:color="auto"/>
            <w:bottom w:val="none" w:sz="0" w:space="0" w:color="auto"/>
            <w:right w:val="none" w:sz="0" w:space="0" w:color="auto"/>
          </w:divBdr>
          <w:divsChild>
            <w:div w:id="662196144">
              <w:marLeft w:val="0"/>
              <w:marRight w:val="0"/>
              <w:marTop w:val="0"/>
              <w:marBottom w:val="0"/>
              <w:divBdr>
                <w:top w:val="none" w:sz="0" w:space="0" w:color="auto"/>
                <w:left w:val="none" w:sz="0" w:space="0" w:color="auto"/>
                <w:bottom w:val="none" w:sz="0" w:space="0" w:color="auto"/>
                <w:right w:val="none" w:sz="0" w:space="0" w:color="auto"/>
              </w:divBdr>
              <w:divsChild>
                <w:div w:id="102652505">
                  <w:marLeft w:val="0"/>
                  <w:marRight w:val="0"/>
                  <w:marTop w:val="0"/>
                  <w:marBottom w:val="0"/>
                  <w:divBdr>
                    <w:top w:val="none" w:sz="0" w:space="0" w:color="auto"/>
                    <w:left w:val="none" w:sz="0" w:space="0" w:color="auto"/>
                    <w:bottom w:val="none" w:sz="0" w:space="0" w:color="auto"/>
                    <w:right w:val="none" w:sz="0" w:space="0" w:color="auto"/>
                  </w:divBdr>
                  <w:divsChild>
                    <w:div w:id="138697301">
                      <w:marLeft w:val="0"/>
                      <w:marRight w:val="0"/>
                      <w:marTop w:val="0"/>
                      <w:marBottom w:val="0"/>
                      <w:divBdr>
                        <w:top w:val="none" w:sz="0" w:space="0" w:color="auto"/>
                        <w:left w:val="none" w:sz="0" w:space="0" w:color="auto"/>
                        <w:bottom w:val="none" w:sz="0" w:space="0" w:color="auto"/>
                        <w:right w:val="none" w:sz="0" w:space="0" w:color="auto"/>
                      </w:divBdr>
                      <w:divsChild>
                        <w:div w:id="1409426611">
                          <w:marLeft w:val="0"/>
                          <w:marRight w:val="0"/>
                          <w:marTop w:val="0"/>
                          <w:marBottom w:val="0"/>
                          <w:divBdr>
                            <w:top w:val="none" w:sz="0" w:space="0" w:color="auto"/>
                            <w:left w:val="none" w:sz="0" w:space="0" w:color="auto"/>
                            <w:bottom w:val="none" w:sz="0" w:space="0" w:color="auto"/>
                            <w:right w:val="none" w:sz="0" w:space="0" w:color="auto"/>
                          </w:divBdr>
                          <w:divsChild>
                            <w:div w:id="6802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7151">
      <w:bodyDiv w:val="1"/>
      <w:marLeft w:val="0"/>
      <w:marRight w:val="0"/>
      <w:marTop w:val="0"/>
      <w:marBottom w:val="0"/>
      <w:divBdr>
        <w:top w:val="none" w:sz="0" w:space="0" w:color="auto"/>
        <w:left w:val="none" w:sz="0" w:space="0" w:color="auto"/>
        <w:bottom w:val="none" w:sz="0" w:space="0" w:color="auto"/>
        <w:right w:val="none" w:sz="0" w:space="0" w:color="auto"/>
      </w:divBdr>
    </w:div>
    <w:div w:id="1078674205">
      <w:bodyDiv w:val="1"/>
      <w:marLeft w:val="0"/>
      <w:marRight w:val="0"/>
      <w:marTop w:val="0"/>
      <w:marBottom w:val="0"/>
      <w:divBdr>
        <w:top w:val="none" w:sz="0" w:space="0" w:color="auto"/>
        <w:left w:val="none" w:sz="0" w:space="0" w:color="auto"/>
        <w:bottom w:val="none" w:sz="0" w:space="0" w:color="auto"/>
        <w:right w:val="none" w:sz="0" w:space="0" w:color="auto"/>
      </w:divBdr>
    </w:div>
    <w:div w:id="1082262863">
      <w:bodyDiv w:val="1"/>
      <w:marLeft w:val="0"/>
      <w:marRight w:val="0"/>
      <w:marTop w:val="0"/>
      <w:marBottom w:val="0"/>
      <w:divBdr>
        <w:top w:val="none" w:sz="0" w:space="0" w:color="auto"/>
        <w:left w:val="none" w:sz="0" w:space="0" w:color="auto"/>
        <w:bottom w:val="none" w:sz="0" w:space="0" w:color="auto"/>
        <w:right w:val="none" w:sz="0" w:space="0" w:color="auto"/>
      </w:divBdr>
    </w:div>
    <w:div w:id="1087460134">
      <w:bodyDiv w:val="1"/>
      <w:marLeft w:val="0"/>
      <w:marRight w:val="0"/>
      <w:marTop w:val="0"/>
      <w:marBottom w:val="0"/>
      <w:divBdr>
        <w:top w:val="none" w:sz="0" w:space="0" w:color="auto"/>
        <w:left w:val="none" w:sz="0" w:space="0" w:color="auto"/>
        <w:bottom w:val="none" w:sz="0" w:space="0" w:color="auto"/>
        <w:right w:val="none" w:sz="0" w:space="0" w:color="auto"/>
      </w:divBdr>
      <w:divsChild>
        <w:div w:id="1417820359">
          <w:marLeft w:val="0"/>
          <w:marRight w:val="0"/>
          <w:marTop w:val="0"/>
          <w:marBottom w:val="0"/>
          <w:divBdr>
            <w:top w:val="none" w:sz="0" w:space="0" w:color="auto"/>
            <w:left w:val="none" w:sz="0" w:space="0" w:color="auto"/>
            <w:bottom w:val="none" w:sz="0" w:space="0" w:color="auto"/>
            <w:right w:val="none" w:sz="0" w:space="0" w:color="auto"/>
          </w:divBdr>
          <w:divsChild>
            <w:div w:id="749621386">
              <w:marLeft w:val="0"/>
              <w:marRight w:val="0"/>
              <w:marTop w:val="0"/>
              <w:marBottom w:val="0"/>
              <w:divBdr>
                <w:top w:val="none" w:sz="0" w:space="0" w:color="auto"/>
                <w:left w:val="none" w:sz="0" w:space="0" w:color="auto"/>
                <w:bottom w:val="none" w:sz="0" w:space="0" w:color="auto"/>
                <w:right w:val="none" w:sz="0" w:space="0" w:color="auto"/>
              </w:divBdr>
              <w:divsChild>
                <w:div w:id="991714759">
                  <w:marLeft w:val="0"/>
                  <w:marRight w:val="0"/>
                  <w:marTop w:val="0"/>
                  <w:marBottom w:val="0"/>
                  <w:divBdr>
                    <w:top w:val="none" w:sz="0" w:space="0" w:color="auto"/>
                    <w:left w:val="none" w:sz="0" w:space="0" w:color="auto"/>
                    <w:bottom w:val="none" w:sz="0" w:space="0" w:color="auto"/>
                    <w:right w:val="none" w:sz="0" w:space="0" w:color="auto"/>
                  </w:divBdr>
                  <w:divsChild>
                    <w:div w:id="206534329">
                      <w:marLeft w:val="0"/>
                      <w:marRight w:val="0"/>
                      <w:marTop w:val="0"/>
                      <w:marBottom w:val="0"/>
                      <w:divBdr>
                        <w:top w:val="none" w:sz="0" w:space="0" w:color="auto"/>
                        <w:left w:val="none" w:sz="0" w:space="0" w:color="auto"/>
                        <w:bottom w:val="none" w:sz="0" w:space="0" w:color="auto"/>
                        <w:right w:val="none" w:sz="0" w:space="0" w:color="auto"/>
                      </w:divBdr>
                      <w:divsChild>
                        <w:div w:id="1811169818">
                          <w:marLeft w:val="0"/>
                          <w:marRight w:val="0"/>
                          <w:marTop w:val="0"/>
                          <w:marBottom w:val="0"/>
                          <w:divBdr>
                            <w:top w:val="none" w:sz="0" w:space="0" w:color="auto"/>
                            <w:left w:val="none" w:sz="0" w:space="0" w:color="auto"/>
                            <w:bottom w:val="none" w:sz="0" w:space="0" w:color="auto"/>
                            <w:right w:val="none" w:sz="0" w:space="0" w:color="auto"/>
                          </w:divBdr>
                          <w:divsChild>
                            <w:div w:id="220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66683">
      <w:bodyDiv w:val="1"/>
      <w:marLeft w:val="0"/>
      <w:marRight w:val="0"/>
      <w:marTop w:val="0"/>
      <w:marBottom w:val="0"/>
      <w:divBdr>
        <w:top w:val="none" w:sz="0" w:space="0" w:color="auto"/>
        <w:left w:val="none" w:sz="0" w:space="0" w:color="auto"/>
        <w:bottom w:val="none" w:sz="0" w:space="0" w:color="auto"/>
        <w:right w:val="none" w:sz="0" w:space="0" w:color="auto"/>
      </w:divBdr>
    </w:div>
    <w:div w:id="1198662046">
      <w:bodyDiv w:val="1"/>
      <w:marLeft w:val="0"/>
      <w:marRight w:val="0"/>
      <w:marTop w:val="0"/>
      <w:marBottom w:val="0"/>
      <w:divBdr>
        <w:top w:val="none" w:sz="0" w:space="0" w:color="auto"/>
        <w:left w:val="none" w:sz="0" w:space="0" w:color="auto"/>
        <w:bottom w:val="none" w:sz="0" w:space="0" w:color="auto"/>
        <w:right w:val="none" w:sz="0" w:space="0" w:color="auto"/>
      </w:divBdr>
    </w:div>
    <w:div w:id="1219635609">
      <w:bodyDiv w:val="1"/>
      <w:marLeft w:val="0"/>
      <w:marRight w:val="0"/>
      <w:marTop w:val="0"/>
      <w:marBottom w:val="0"/>
      <w:divBdr>
        <w:top w:val="none" w:sz="0" w:space="0" w:color="auto"/>
        <w:left w:val="none" w:sz="0" w:space="0" w:color="auto"/>
        <w:bottom w:val="none" w:sz="0" w:space="0" w:color="auto"/>
        <w:right w:val="none" w:sz="0" w:space="0" w:color="auto"/>
      </w:divBdr>
    </w:div>
    <w:div w:id="1241720300">
      <w:bodyDiv w:val="1"/>
      <w:marLeft w:val="0"/>
      <w:marRight w:val="0"/>
      <w:marTop w:val="0"/>
      <w:marBottom w:val="0"/>
      <w:divBdr>
        <w:top w:val="none" w:sz="0" w:space="0" w:color="auto"/>
        <w:left w:val="none" w:sz="0" w:space="0" w:color="auto"/>
        <w:bottom w:val="none" w:sz="0" w:space="0" w:color="auto"/>
        <w:right w:val="none" w:sz="0" w:space="0" w:color="auto"/>
      </w:divBdr>
    </w:div>
    <w:div w:id="1292979096">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25548037">
      <w:bodyDiv w:val="1"/>
      <w:marLeft w:val="0"/>
      <w:marRight w:val="0"/>
      <w:marTop w:val="0"/>
      <w:marBottom w:val="0"/>
      <w:divBdr>
        <w:top w:val="none" w:sz="0" w:space="0" w:color="auto"/>
        <w:left w:val="none" w:sz="0" w:space="0" w:color="auto"/>
        <w:bottom w:val="none" w:sz="0" w:space="0" w:color="auto"/>
        <w:right w:val="none" w:sz="0" w:space="0" w:color="auto"/>
      </w:divBdr>
    </w:div>
    <w:div w:id="1342397269">
      <w:bodyDiv w:val="1"/>
      <w:marLeft w:val="0"/>
      <w:marRight w:val="0"/>
      <w:marTop w:val="0"/>
      <w:marBottom w:val="0"/>
      <w:divBdr>
        <w:top w:val="none" w:sz="0" w:space="0" w:color="auto"/>
        <w:left w:val="none" w:sz="0" w:space="0" w:color="auto"/>
        <w:bottom w:val="none" w:sz="0" w:space="0" w:color="auto"/>
        <w:right w:val="none" w:sz="0" w:space="0" w:color="auto"/>
      </w:divBdr>
    </w:div>
    <w:div w:id="1373576100">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602836664">
      <w:bodyDiv w:val="1"/>
      <w:marLeft w:val="0"/>
      <w:marRight w:val="0"/>
      <w:marTop w:val="0"/>
      <w:marBottom w:val="0"/>
      <w:divBdr>
        <w:top w:val="none" w:sz="0" w:space="0" w:color="auto"/>
        <w:left w:val="none" w:sz="0" w:space="0" w:color="auto"/>
        <w:bottom w:val="none" w:sz="0" w:space="0" w:color="auto"/>
        <w:right w:val="none" w:sz="0" w:space="0" w:color="auto"/>
      </w:divBdr>
    </w:div>
    <w:div w:id="1626081467">
      <w:bodyDiv w:val="1"/>
      <w:marLeft w:val="0"/>
      <w:marRight w:val="0"/>
      <w:marTop w:val="0"/>
      <w:marBottom w:val="0"/>
      <w:divBdr>
        <w:top w:val="none" w:sz="0" w:space="0" w:color="auto"/>
        <w:left w:val="none" w:sz="0" w:space="0" w:color="auto"/>
        <w:bottom w:val="none" w:sz="0" w:space="0" w:color="auto"/>
        <w:right w:val="none" w:sz="0" w:space="0" w:color="auto"/>
      </w:divBdr>
    </w:div>
    <w:div w:id="1655530457">
      <w:bodyDiv w:val="1"/>
      <w:marLeft w:val="0"/>
      <w:marRight w:val="0"/>
      <w:marTop w:val="0"/>
      <w:marBottom w:val="0"/>
      <w:divBdr>
        <w:top w:val="none" w:sz="0" w:space="0" w:color="auto"/>
        <w:left w:val="none" w:sz="0" w:space="0" w:color="auto"/>
        <w:bottom w:val="none" w:sz="0" w:space="0" w:color="auto"/>
        <w:right w:val="none" w:sz="0" w:space="0" w:color="auto"/>
      </w:divBdr>
    </w:div>
    <w:div w:id="1682275768">
      <w:bodyDiv w:val="1"/>
      <w:marLeft w:val="0"/>
      <w:marRight w:val="0"/>
      <w:marTop w:val="0"/>
      <w:marBottom w:val="0"/>
      <w:divBdr>
        <w:top w:val="none" w:sz="0" w:space="0" w:color="auto"/>
        <w:left w:val="none" w:sz="0" w:space="0" w:color="auto"/>
        <w:bottom w:val="none" w:sz="0" w:space="0" w:color="auto"/>
        <w:right w:val="none" w:sz="0" w:space="0" w:color="auto"/>
      </w:divBdr>
    </w:div>
    <w:div w:id="1758015367">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9621386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07158861">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55613256">
      <w:bodyDiv w:val="1"/>
      <w:marLeft w:val="0"/>
      <w:marRight w:val="0"/>
      <w:marTop w:val="0"/>
      <w:marBottom w:val="0"/>
      <w:divBdr>
        <w:top w:val="none" w:sz="0" w:space="0" w:color="auto"/>
        <w:left w:val="none" w:sz="0" w:space="0" w:color="auto"/>
        <w:bottom w:val="none" w:sz="0" w:space="0" w:color="auto"/>
        <w:right w:val="none" w:sz="0" w:space="0" w:color="auto"/>
      </w:divBdr>
    </w:div>
    <w:div w:id="1858929202">
      <w:bodyDiv w:val="1"/>
      <w:marLeft w:val="0"/>
      <w:marRight w:val="0"/>
      <w:marTop w:val="0"/>
      <w:marBottom w:val="0"/>
      <w:divBdr>
        <w:top w:val="none" w:sz="0" w:space="0" w:color="auto"/>
        <w:left w:val="none" w:sz="0" w:space="0" w:color="auto"/>
        <w:bottom w:val="none" w:sz="0" w:space="0" w:color="auto"/>
        <w:right w:val="none" w:sz="0" w:space="0" w:color="auto"/>
      </w:divBdr>
    </w:div>
    <w:div w:id="1878859375">
      <w:bodyDiv w:val="1"/>
      <w:marLeft w:val="0"/>
      <w:marRight w:val="0"/>
      <w:marTop w:val="0"/>
      <w:marBottom w:val="0"/>
      <w:divBdr>
        <w:top w:val="none" w:sz="0" w:space="0" w:color="auto"/>
        <w:left w:val="none" w:sz="0" w:space="0" w:color="auto"/>
        <w:bottom w:val="none" w:sz="0" w:space="0" w:color="auto"/>
        <w:right w:val="none" w:sz="0" w:space="0" w:color="auto"/>
      </w:divBdr>
    </w:div>
    <w:div w:id="1879463075">
      <w:bodyDiv w:val="1"/>
      <w:marLeft w:val="0"/>
      <w:marRight w:val="0"/>
      <w:marTop w:val="0"/>
      <w:marBottom w:val="0"/>
      <w:divBdr>
        <w:top w:val="none" w:sz="0" w:space="0" w:color="auto"/>
        <w:left w:val="none" w:sz="0" w:space="0" w:color="auto"/>
        <w:bottom w:val="none" w:sz="0" w:space="0" w:color="auto"/>
        <w:right w:val="none" w:sz="0" w:space="0" w:color="auto"/>
      </w:divBdr>
    </w:div>
    <w:div w:id="1880624768">
      <w:bodyDiv w:val="1"/>
      <w:marLeft w:val="0"/>
      <w:marRight w:val="0"/>
      <w:marTop w:val="0"/>
      <w:marBottom w:val="0"/>
      <w:divBdr>
        <w:top w:val="none" w:sz="0" w:space="0" w:color="auto"/>
        <w:left w:val="none" w:sz="0" w:space="0" w:color="auto"/>
        <w:bottom w:val="none" w:sz="0" w:space="0" w:color="auto"/>
        <w:right w:val="none" w:sz="0" w:space="0" w:color="auto"/>
      </w:divBdr>
    </w:div>
    <w:div w:id="1913201708">
      <w:bodyDiv w:val="1"/>
      <w:marLeft w:val="0"/>
      <w:marRight w:val="0"/>
      <w:marTop w:val="0"/>
      <w:marBottom w:val="0"/>
      <w:divBdr>
        <w:top w:val="none" w:sz="0" w:space="0" w:color="auto"/>
        <w:left w:val="none" w:sz="0" w:space="0" w:color="auto"/>
        <w:bottom w:val="none" w:sz="0" w:space="0" w:color="auto"/>
        <w:right w:val="none" w:sz="0" w:space="0" w:color="auto"/>
      </w:divBdr>
    </w:div>
    <w:div w:id="1956905066">
      <w:bodyDiv w:val="1"/>
      <w:marLeft w:val="0"/>
      <w:marRight w:val="0"/>
      <w:marTop w:val="0"/>
      <w:marBottom w:val="0"/>
      <w:divBdr>
        <w:top w:val="none" w:sz="0" w:space="0" w:color="auto"/>
        <w:left w:val="none" w:sz="0" w:space="0" w:color="auto"/>
        <w:bottom w:val="none" w:sz="0" w:space="0" w:color="auto"/>
        <w:right w:val="none" w:sz="0" w:space="0" w:color="auto"/>
      </w:divBdr>
    </w:div>
    <w:div w:id="1990094182">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20447471">
      <w:bodyDiv w:val="1"/>
      <w:marLeft w:val="0"/>
      <w:marRight w:val="0"/>
      <w:marTop w:val="0"/>
      <w:marBottom w:val="0"/>
      <w:divBdr>
        <w:top w:val="none" w:sz="0" w:space="0" w:color="auto"/>
        <w:left w:val="none" w:sz="0" w:space="0" w:color="auto"/>
        <w:bottom w:val="none" w:sz="0" w:space="0" w:color="auto"/>
        <w:right w:val="none" w:sz="0" w:space="0" w:color="auto"/>
      </w:divBdr>
    </w:div>
    <w:div w:id="21394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http://www.manpowergroup.es" TargetMode="External" Type="http://schemas.openxmlformats.org/officeDocument/2006/relationships/hyperlink"/>
<Relationship Id="rId14" Target="mailto:comunicacion.manpowergroup@havas.com" TargetMode="External" Type="http://schemas.openxmlformats.org/officeDocument/2006/relationships/hyperlink"/>
<Relationship Id="rId15" Target="mailto:gala.diaz@manpowergroup.es" TargetMode="External" Type="http://schemas.openxmlformats.org/officeDocument/2006/relationships/hyperlink"/>
<Relationship Id="rId16" Target="mailto:juan.gomez@manpowergroup.es"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no"?>
<Relationships xmlns="http://schemas.openxmlformats.org/package/2006/relationships">
<Relationship Id="rId1"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3.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231d71-97c5-42ff-aba6-a7b30cc7d16d" xsi:nil="true"/>
    <lcf76f155ced4ddcb4097134ff3c332f xmlns="f17ce223-d96d-4429-9827-08a58a24d6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B59D75210B3AB47BDB1DAE6E2AD3455" ma:contentTypeVersion="12" ma:contentTypeDescription="Crear nuevo documento." ma:contentTypeScope="" ma:versionID="3b6a0df731f9b291626601c022487cbc">
  <xsd:schema xmlns:xsd="http://www.w3.org/2001/XMLSchema" xmlns:xs="http://www.w3.org/2001/XMLSchema" xmlns:p="http://schemas.microsoft.com/office/2006/metadata/properties" xmlns:ns2="f17ce223-d96d-4429-9827-08a58a24d6e0" xmlns:ns3="df231d71-97c5-42ff-aba6-a7b30cc7d16d" targetNamespace="http://schemas.microsoft.com/office/2006/metadata/properties" ma:root="true" ma:fieldsID="87956ab23a915a09f5a92d2275241f1c" ns2:_="" ns3:_="">
    <xsd:import namespace="f17ce223-d96d-4429-9827-08a58a24d6e0"/>
    <xsd:import namespace="df231d71-97c5-42ff-aba6-a7b30cc7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ce223-d96d-4429-9827-08a58a24d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870de15-bcca-44b9-b7b5-b2794476cd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31d71-97c5-42ff-aba6-a7b30cc7d1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e8a38b-5614-4691-94ea-de797eccec08}" ma:internalName="TaxCatchAll" ma:showField="CatchAllData" ma:web="df231d71-97c5-42ff-aba6-a7b30cc7d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70DAA-9F0D-47BB-AA27-3D152BEA8AA9}">
  <ds:schemaRefs>
    <ds:schemaRef ds:uri="http://schemas.openxmlformats.org/officeDocument/2006/bibliography"/>
  </ds:schemaRefs>
</ds:datastoreItem>
</file>

<file path=customXml/itemProps2.xml><?xml version="1.0" encoding="utf-8"?>
<ds:datastoreItem xmlns:ds="http://schemas.openxmlformats.org/officeDocument/2006/customXml" ds:itemID="{CB58B8D4-E0E0-4732-8B1F-E0CE40014FEE}">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f17ce223-d96d-4429-9827-08a58a24d6e0"/>
    <ds:schemaRef ds:uri="http://schemas.openxmlformats.org/package/2006/metadata/core-properties"/>
    <ds:schemaRef ds:uri="http://schemas.microsoft.com/office/infopath/2007/PartnerControls"/>
    <ds:schemaRef ds:uri="df231d71-97c5-42ff-aba6-a7b30cc7d16d"/>
    <ds:schemaRef ds:uri="http://purl.org/dc/dcmitype/"/>
  </ds:schemaRefs>
</ds:datastoreItem>
</file>

<file path=customXml/itemProps3.xml><?xml version="1.0" encoding="utf-8"?>
<ds:datastoreItem xmlns:ds="http://schemas.openxmlformats.org/officeDocument/2006/customXml" ds:itemID="{5FABE3CC-BDC0-411B-8E9D-73DA07B1053A}">
  <ds:schemaRefs>
    <ds:schemaRef ds:uri="http://schemas.microsoft.com/sharepoint/v3/contenttype/forms"/>
  </ds:schemaRefs>
</ds:datastoreItem>
</file>

<file path=customXml/itemProps4.xml><?xml version="1.0" encoding="utf-8"?>
<ds:datastoreItem xmlns:ds="http://schemas.openxmlformats.org/officeDocument/2006/customXml" ds:itemID="{8E35748D-EFE9-4E8C-B3A8-F64D3B159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ce223-d96d-4429-9827-08a58a24d6e0"/>
    <ds:schemaRef ds:uri="df231d71-97c5-42ff-aba6-a7b30cc7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965</Words>
  <Characters>5313</Characters>
  <Application/>
  <DocSecurity>0</DocSecurity>
  <Lines>44</Lines>
  <Paragraphs>12</Paragraphs>
  <ScaleCrop>false</ScaleCrop>
  <Company/>
  <LinksUpToDate>false</LinksUpToDate>
  <CharactersWithSpaces>6266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