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77777777" w:rsidR="003436D7" w:rsidRPr="003436D7" w:rsidRDefault="003436D7" w:rsidP="003436D7">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Estudio de Proyección de Empleo de ManpowerGroup para octubre-diciembre 2024</w:t>
      </w:r>
    </w:p>
    <w:p w14:paraId="41916458" w14:textId="77777777" w:rsidR="00783F06" w:rsidRDefault="00783F06" w:rsidP="00783F06">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69AF00E0" w14:textId="44DCCCBD" w:rsidR="003436D7" w:rsidRDefault="00AE23F5" w:rsidP="003436D7">
      <w:pPr>
        <w:spacing w:before="120" w:line="288" w:lineRule="auto"/>
        <w:jc w:val="center"/>
        <w:rPr>
          <w:rFonts w:ascii="Arial" w:eastAsia="Arial" w:hAnsi="Arial" w:cs="Arial"/>
          <w:b/>
          <w:bCs/>
          <w:sz w:val="36"/>
          <w:szCs w:val="36"/>
        </w:rPr>
      </w:pPr>
      <w:bookmarkStart w:id="2" w:name="_Hlk113557077"/>
      <w:r w:rsidRPr="00AE23F5">
        <w:rPr>
          <w:rFonts w:ascii="Arial" w:eastAsia="Arial" w:hAnsi="Arial" w:cs="Arial"/>
          <w:b/>
          <w:bCs/>
          <w:sz w:val="36"/>
          <w:szCs w:val="36"/>
        </w:rPr>
        <w:t xml:space="preserve">Energía y </w:t>
      </w:r>
      <w:r w:rsidR="00187D88">
        <w:rPr>
          <w:rFonts w:ascii="Arial" w:eastAsia="Arial" w:hAnsi="Arial" w:cs="Arial"/>
          <w:b/>
          <w:bCs/>
          <w:sz w:val="36"/>
          <w:szCs w:val="36"/>
        </w:rPr>
        <w:t>s</w:t>
      </w:r>
      <w:r w:rsidRPr="00AE23F5">
        <w:rPr>
          <w:rFonts w:ascii="Arial" w:eastAsia="Arial" w:hAnsi="Arial" w:cs="Arial"/>
          <w:b/>
          <w:bCs/>
          <w:sz w:val="36"/>
          <w:szCs w:val="36"/>
        </w:rPr>
        <w:t xml:space="preserve">uministros </w:t>
      </w:r>
      <w:r w:rsidR="00187D88">
        <w:rPr>
          <w:rFonts w:ascii="Arial" w:eastAsia="Arial" w:hAnsi="Arial" w:cs="Arial"/>
          <w:b/>
          <w:bCs/>
          <w:sz w:val="36"/>
          <w:szCs w:val="36"/>
        </w:rPr>
        <w:t xml:space="preserve">cierra el año entre los sectores con mejores </w:t>
      </w:r>
      <w:r w:rsidRPr="00AE23F5">
        <w:rPr>
          <w:rFonts w:ascii="Arial" w:eastAsia="Arial" w:hAnsi="Arial" w:cs="Arial"/>
          <w:b/>
          <w:bCs/>
          <w:sz w:val="36"/>
          <w:szCs w:val="36"/>
        </w:rPr>
        <w:t>previsiones de contratación</w:t>
      </w:r>
    </w:p>
    <w:p w14:paraId="16096E56" w14:textId="77777777" w:rsidR="00483F52" w:rsidRPr="00584891" w:rsidRDefault="00483F52" w:rsidP="003436D7">
      <w:pPr>
        <w:spacing w:before="120" w:line="288" w:lineRule="auto"/>
        <w:jc w:val="center"/>
        <w:rPr>
          <w:rFonts w:ascii="Arial" w:eastAsia="Arial" w:hAnsi="Arial" w:cs="Arial"/>
          <w:b/>
          <w:sz w:val="23"/>
          <w:szCs w:val="23"/>
        </w:rPr>
      </w:pPr>
    </w:p>
    <w:p w14:paraId="63D0F9BF" w14:textId="14FBCC8F" w:rsidR="003436D7" w:rsidRDefault="003436D7" w:rsidP="00783F06">
      <w:pPr>
        <w:pStyle w:val="Prrafodelista"/>
        <w:numPr>
          <w:ilvl w:val="0"/>
          <w:numId w:val="7"/>
        </w:numPr>
        <w:spacing w:before="120" w:line="288" w:lineRule="auto"/>
        <w:contextualSpacing w:val="0"/>
        <w:jc w:val="both"/>
        <w:rPr>
          <w:rFonts w:ascii="Arial" w:eastAsia="Arial" w:hAnsi="Arial" w:cs="Arial"/>
          <w:b/>
          <w:sz w:val="23"/>
          <w:szCs w:val="23"/>
        </w:rPr>
      </w:pPr>
      <w:r w:rsidRPr="003436D7">
        <w:rPr>
          <w:rFonts w:ascii="Arial" w:eastAsia="Arial" w:hAnsi="Arial" w:cs="Arial"/>
          <w:b/>
          <w:sz w:val="23"/>
          <w:szCs w:val="23"/>
        </w:rPr>
        <w:t>El sector</w:t>
      </w:r>
      <w:r w:rsidR="00187D88">
        <w:rPr>
          <w:rFonts w:ascii="Arial" w:eastAsia="Arial" w:hAnsi="Arial" w:cs="Arial"/>
          <w:b/>
          <w:sz w:val="23"/>
          <w:szCs w:val="23"/>
        </w:rPr>
        <w:t xml:space="preserve"> maneja unas expectativas netas de generación de empleo del 24%, </w:t>
      </w:r>
      <w:r w:rsidR="00AE23F5">
        <w:rPr>
          <w:rFonts w:ascii="Arial" w:eastAsia="Arial" w:hAnsi="Arial" w:cs="Arial"/>
          <w:b/>
          <w:sz w:val="23"/>
          <w:szCs w:val="23"/>
        </w:rPr>
        <w:t xml:space="preserve">una notable mejora con respecto al trimestre anterior en el que registró </w:t>
      </w:r>
      <w:r w:rsidR="00187D88">
        <w:rPr>
          <w:rFonts w:ascii="Arial" w:eastAsia="Arial" w:hAnsi="Arial" w:cs="Arial"/>
          <w:b/>
          <w:sz w:val="23"/>
          <w:szCs w:val="23"/>
        </w:rPr>
        <w:t xml:space="preserve">un </w:t>
      </w:r>
      <w:r w:rsidR="00AE23F5" w:rsidRPr="00AE23F5">
        <w:rPr>
          <w:rFonts w:ascii="Arial" w:eastAsia="Arial" w:hAnsi="Arial" w:cs="Arial"/>
          <w:b/>
          <w:sz w:val="23"/>
          <w:szCs w:val="23"/>
        </w:rPr>
        <w:t>0%</w:t>
      </w:r>
      <w:r w:rsidR="00AE23F5">
        <w:rPr>
          <w:rFonts w:ascii="Arial" w:eastAsia="Arial" w:hAnsi="Arial" w:cs="Arial"/>
          <w:b/>
          <w:sz w:val="23"/>
          <w:szCs w:val="23"/>
        </w:rPr>
        <w:t>.</w:t>
      </w:r>
    </w:p>
    <w:p w14:paraId="3DD9A1D7" w14:textId="1A942B82" w:rsidR="00AE23F5" w:rsidRPr="00AE23F5" w:rsidRDefault="00187D88" w:rsidP="00700FE8">
      <w:pPr>
        <w:pStyle w:val="Prrafodelista"/>
        <w:numPr>
          <w:ilvl w:val="0"/>
          <w:numId w:val="7"/>
        </w:numPr>
        <w:spacing w:before="120" w:line="288" w:lineRule="auto"/>
        <w:contextualSpacing w:val="0"/>
        <w:jc w:val="both"/>
        <w:rPr>
          <w:rFonts w:ascii="Arial" w:eastAsia="Arial" w:hAnsi="Arial" w:cs="Arial"/>
          <w:b/>
          <w:sz w:val="22"/>
          <w:szCs w:val="22"/>
        </w:rPr>
      </w:pPr>
      <w:r>
        <w:rPr>
          <w:rFonts w:ascii="Arial" w:eastAsia="Arial" w:hAnsi="Arial" w:cs="Arial"/>
          <w:b/>
          <w:sz w:val="23"/>
          <w:szCs w:val="23"/>
        </w:rPr>
        <w:t>S</w:t>
      </w:r>
      <w:r w:rsidR="006B37D4">
        <w:rPr>
          <w:rFonts w:ascii="Arial" w:eastAsia="Arial" w:hAnsi="Arial" w:cs="Arial"/>
          <w:b/>
          <w:sz w:val="23"/>
          <w:szCs w:val="23"/>
        </w:rPr>
        <w:t>o</w:t>
      </w:r>
      <w:r>
        <w:rPr>
          <w:rFonts w:ascii="Arial" w:eastAsia="Arial" w:hAnsi="Arial" w:cs="Arial"/>
          <w:b/>
          <w:sz w:val="23"/>
          <w:szCs w:val="23"/>
        </w:rPr>
        <w:t xml:space="preserve">lo por detrás de </w:t>
      </w:r>
      <w:r w:rsidR="00AE23F5" w:rsidRPr="00AE23F5">
        <w:rPr>
          <w:rFonts w:ascii="Arial" w:eastAsia="Arial" w:hAnsi="Arial" w:cs="Arial"/>
          <w:b/>
          <w:sz w:val="23"/>
          <w:szCs w:val="23"/>
        </w:rPr>
        <w:t xml:space="preserve">Financiero e inmobiliario (29%) </w:t>
      </w:r>
      <w:r>
        <w:rPr>
          <w:rFonts w:ascii="Arial" w:eastAsia="Arial" w:hAnsi="Arial" w:cs="Arial"/>
          <w:b/>
          <w:sz w:val="23"/>
          <w:szCs w:val="23"/>
        </w:rPr>
        <w:t xml:space="preserve">e igualado con </w:t>
      </w:r>
      <w:r w:rsidRPr="00AE23F5">
        <w:rPr>
          <w:rFonts w:ascii="Arial" w:eastAsia="Arial" w:hAnsi="Arial" w:cs="Arial"/>
          <w:b/>
          <w:sz w:val="23"/>
          <w:szCs w:val="23"/>
        </w:rPr>
        <w:t>Bienes y servicios de consumo (24%)</w:t>
      </w:r>
      <w:r>
        <w:rPr>
          <w:rFonts w:ascii="Arial" w:eastAsia="Arial" w:hAnsi="Arial" w:cs="Arial"/>
          <w:b/>
          <w:sz w:val="23"/>
          <w:szCs w:val="23"/>
        </w:rPr>
        <w:t>,</w:t>
      </w:r>
      <w:r w:rsidRPr="00AE23F5">
        <w:rPr>
          <w:rFonts w:ascii="Arial" w:eastAsia="Arial" w:hAnsi="Arial" w:cs="Arial"/>
          <w:b/>
          <w:sz w:val="23"/>
          <w:szCs w:val="23"/>
        </w:rPr>
        <w:t xml:space="preserve"> </w:t>
      </w:r>
      <w:r w:rsidR="00AE23F5" w:rsidRPr="00AE23F5">
        <w:rPr>
          <w:rFonts w:ascii="Arial" w:eastAsia="Arial" w:hAnsi="Arial" w:cs="Arial"/>
          <w:b/>
          <w:sz w:val="23"/>
          <w:szCs w:val="23"/>
        </w:rPr>
        <w:t>completa el pódium de los sectores más optimistas.</w:t>
      </w:r>
    </w:p>
    <w:p w14:paraId="7EB5B304" w14:textId="453C857B" w:rsidR="003436D7" w:rsidRPr="00700FE8" w:rsidRDefault="0036519F" w:rsidP="00700FE8">
      <w:pPr>
        <w:pStyle w:val="Prrafodelista"/>
        <w:numPr>
          <w:ilvl w:val="0"/>
          <w:numId w:val="7"/>
        </w:numPr>
        <w:spacing w:before="120" w:line="288" w:lineRule="auto"/>
        <w:contextualSpacing w:val="0"/>
        <w:jc w:val="both"/>
        <w:rPr>
          <w:rFonts w:ascii="Arial" w:eastAsia="Arial" w:hAnsi="Arial" w:cs="Arial"/>
          <w:b/>
          <w:sz w:val="22"/>
          <w:szCs w:val="22"/>
        </w:rPr>
      </w:pPr>
      <w:r w:rsidRPr="00700FE8">
        <w:rPr>
          <w:rFonts w:ascii="Arial" w:eastAsia="Arial" w:hAnsi="Arial" w:cs="Arial"/>
          <w:b/>
          <w:sz w:val="23"/>
          <w:szCs w:val="23"/>
        </w:rPr>
        <w:t>En el lado opuesto</w:t>
      </w:r>
      <w:r w:rsidR="00F12D89">
        <w:rPr>
          <w:rFonts w:ascii="Arial" w:eastAsia="Arial" w:hAnsi="Arial" w:cs="Arial"/>
          <w:b/>
          <w:sz w:val="23"/>
          <w:szCs w:val="23"/>
        </w:rPr>
        <w:t xml:space="preserve"> se encuentran</w:t>
      </w:r>
      <w:r w:rsidRPr="00700FE8">
        <w:rPr>
          <w:rFonts w:ascii="Arial" w:eastAsia="Arial" w:hAnsi="Arial" w:cs="Arial"/>
          <w:b/>
          <w:sz w:val="23"/>
          <w:szCs w:val="23"/>
        </w:rPr>
        <w:t xml:space="preserve"> </w:t>
      </w:r>
      <w:r w:rsidRPr="00187D88">
        <w:rPr>
          <w:rFonts w:ascii="Arial" w:eastAsia="Arial" w:hAnsi="Arial" w:cs="Arial"/>
          <w:b/>
          <w:sz w:val="23"/>
          <w:szCs w:val="23"/>
        </w:rPr>
        <w:t>Transporte, logística y automoción</w:t>
      </w:r>
      <w:r w:rsidR="00700FE8" w:rsidRPr="00187D88">
        <w:rPr>
          <w:rFonts w:ascii="Arial" w:eastAsia="Arial" w:hAnsi="Arial" w:cs="Arial"/>
          <w:b/>
          <w:sz w:val="23"/>
          <w:szCs w:val="23"/>
        </w:rPr>
        <w:t xml:space="preserve"> (9%), </w:t>
      </w:r>
      <w:r w:rsidRPr="00187D88">
        <w:rPr>
          <w:rFonts w:ascii="Arial" w:eastAsia="Arial" w:hAnsi="Arial" w:cs="Arial"/>
          <w:b/>
          <w:sz w:val="23"/>
          <w:szCs w:val="23"/>
        </w:rPr>
        <w:t>Salud y farmaci</w:t>
      </w:r>
      <w:r w:rsidR="00700FE8" w:rsidRPr="00187D88">
        <w:rPr>
          <w:rFonts w:ascii="Arial" w:eastAsia="Arial" w:hAnsi="Arial" w:cs="Arial"/>
          <w:b/>
          <w:sz w:val="23"/>
          <w:szCs w:val="23"/>
        </w:rPr>
        <w:t>a (8%) y</w:t>
      </w:r>
      <w:r w:rsidR="00F12D89" w:rsidRPr="00187D88">
        <w:rPr>
          <w:rFonts w:ascii="Arial" w:eastAsia="Arial" w:hAnsi="Arial" w:cs="Arial"/>
          <w:b/>
          <w:sz w:val="23"/>
          <w:szCs w:val="23"/>
        </w:rPr>
        <w:t>, especialmente,</w:t>
      </w:r>
      <w:r w:rsidR="00700FE8" w:rsidRPr="00187D88">
        <w:rPr>
          <w:rFonts w:ascii="Arial" w:eastAsia="Arial" w:hAnsi="Arial" w:cs="Arial"/>
          <w:b/>
          <w:sz w:val="23"/>
          <w:szCs w:val="23"/>
        </w:rPr>
        <w:t xml:space="preserve"> </w:t>
      </w:r>
      <w:r w:rsidRPr="00187D88">
        <w:rPr>
          <w:rFonts w:ascii="Arial" w:eastAsia="Arial" w:hAnsi="Arial" w:cs="Arial"/>
          <w:b/>
          <w:sz w:val="23"/>
          <w:szCs w:val="23"/>
        </w:rPr>
        <w:t>Publicidad y comunicación</w:t>
      </w:r>
      <w:r w:rsidR="00700FE8" w:rsidRPr="00187D88">
        <w:rPr>
          <w:rFonts w:ascii="Arial" w:eastAsia="Arial" w:hAnsi="Arial" w:cs="Arial"/>
          <w:b/>
          <w:sz w:val="23"/>
          <w:szCs w:val="23"/>
        </w:rPr>
        <w:t xml:space="preserve"> (-5%).</w:t>
      </w:r>
    </w:p>
    <w:p w14:paraId="4FB7BB41" w14:textId="77777777" w:rsidR="00700FE8" w:rsidRPr="00F12D89" w:rsidRDefault="00700FE8" w:rsidP="00F12D89">
      <w:pPr>
        <w:spacing w:before="120" w:line="288" w:lineRule="auto"/>
        <w:jc w:val="both"/>
        <w:rPr>
          <w:rFonts w:ascii="Arial" w:eastAsia="Arial" w:hAnsi="Arial" w:cs="Arial"/>
          <w:b/>
          <w:sz w:val="22"/>
          <w:szCs w:val="22"/>
        </w:rPr>
      </w:pPr>
    </w:p>
    <w:bookmarkEnd w:id="2"/>
    <w:p w14:paraId="64747B86" w14:textId="604F9AFA" w:rsidR="00D960A9" w:rsidRPr="003436D7" w:rsidRDefault="00196895" w:rsidP="00D960A9">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12D89">
        <w:rPr>
          <w:rFonts w:ascii="Arial" w:eastAsia="Arial" w:hAnsi="Arial" w:cs="Arial"/>
          <w:b/>
          <w:sz w:val="22"/>
          <w:szCs w:val="22"/>
        </w:rPr>
        <w:t>1</w:t>
      </w:r>
      <w:r w:rsidR="00187D88">
        <w:rPr>
          <w:rFonts w:ascii="Arial" w:eastAsia="Arial" w:hAnsi="Arial" w:cs="Arial"/>
          <w:b/>
          <w:sz w:val="22"/>
          <w:szCs w:val="22"/>
        </w:rPr>
        <w:t>9</w:t>
      </w:r>
      <w:r w:rsidR="00F12D89">
        <w:rPr>
          <w:rFonts w:ascii="Arial" w:eastAsia="Arial" w:hAnsi="Arial" w:cs="Arial"/>
          <w:b/>
          <w:sz w:val="22"/>
          <w:szCs w:val="22"/>
        </w:rPr>
        <w:t xml:space="preserve"> </w:t>
      </w:r>
      <w:r w:rsidRPr="00584891">
        <w:rPr>
          <w:rFonts w:ascii="Arial" w:eastAsia="Arial" w:hAnsi="Arial" w:cs="Arial"/>
          <w:b/>
          <w:sz w:val="22"/>
          <w:szCs w:val="22"/>
        </w:rPr>
        <w:t xml:space="preserve">de </w:t>
      </w:r>
      <w:r w:rsidR="003436D7">
        <w:rPr>
          <w:rFonts w:ascii="Arial" w:eastAsia="Arial" w:hAnsi="Arial" w:cs="Arial"/>
          <w:b/>
          <w:sz w:val="22"/>
          <w:szCs w:val="22"/>
        </w:rPr>
        <w:t>septiembre</w:t>
      </w:r>
      <w:r w:rsidRPr="00584891">
        <w:rPr>
          <w:rFonts w:ascii="Arial" w:eastAsia="Arial" w:hAnsi="Arial" w:cs="Arial"/>
          <w:b/>
          <w:sz w:val="22"/>
          <w:szCs w:val="22"/>
        </w:rPr>
        <w:t xml:space="preserve"> de 2024.-</w:t>
      </w:r>
      <w:bookmarkStart w:id="3" w:name="_Hlk113557102"/>
      <w:r w:rsidRPr="00584891">
        <w:rPr>
          <w:rFonts w:ascii="Arial" w:eastAsia="Arial" w:hAnsi="Arial" w:cs="Arial"/>
          <w:b/>
          <w:sz w:val="22"/>
          <w:szCs w:val="22"/>
        </w:rPr>
        <w:t xml:space="preserve"> </w:t>
      </w:r>
      <w:bookmarkStart w:id="4" w:name="_Hlk137140302"/>
      <w:r w:rsidR="003436D7" w:rsidRPr="003436D7">
        <w:rPr>
          <w:rFonts w:ascii="Arial" w:eastAsia="Arial" w:hAnsi="Arial" w:cs="Arial"/>
          <w:bCs/>
          <w:sz w:val="22"/>
          <w:szCs w:val="22"/>
        </w:rPr>
        <w:t xml:space="preserve">Las empresas del sector </w:t>
      </w:r>
      <w:r w:rsidR="00D960A9" w:rsidRPr="00D960A9">
        <w:rPr>
          <w:rFonts w:ascii="Arial" w:eastAsia="Arial" w:hAnsi="Arial" w:cs="Arial"/>
          <w:b/>
          <w:sz w:val="22"/>
          <w:szCs w:val="22"/>
        </w:rPr>
        <w:t>Energía y suministros</w:t>
      </w:r>
      <w:r w:rsidR="003436D7" w:rsidRPr="003436D7">
        <w:rPr>
          <w:rFonts w:ascii="Arial" w:eastAsia="Arial" w:hAnsi="Arial" w:cs="Arial"/>
          <w:bCs/>
          <w:sz w:val="22"/>
          <w:szCs w:val="22"/>
        </w:rPr>
        <w:t xml:space="preserve"> en España </w:t>
      </w:r>
      <w:r w:rsidR="00187D88">
        <w:rPr>
          <w:rFonts w:ascii="Arial" w:eastAsia="Arial" w:hAnsi="Arial" w:cs="Arial"/>
          <w:bCs/>
          <w:sz w:val="22"/>
          <w:szCs w:val="22"/>
        </w:rPr>
        <w:t xml:space="preserve">mejoran notablemente </w:t>
      </w:r>
      <w:r w:rsidR="003436D7" w:rsidRPr="003436D7">
        <w:rPr>
          <w:rFonts w:ascii="Arial" w:eastAsia="Arial" w:hAnsi="Arial" w:cs="Arial"/>
          <w:bCs/>
          <w:sz w:val="22"/>
          <w:szCs w:val="22"/>
        </w:rPr>
        <w:t xml:space="preserve">sus expectativas de </w:t>
      </w:r>
      <w:r w:rsidR="00F12D89">
        <w:rPr>
          <w:rFonts w:ascii="Arial" w:eastAsia="Arial" w:hAnsi="Arial" w:cs="Arial"/>
          <w:bCs/>
          <w:sz w:val="22"/>
          <w:szCs w:val="22"/>
        </w:rPr>
        <w:t xml:space="preserve">generación de </w:t>
      </w:r>
      <w:r w:rsidR="00187D88">
        <w:rPr>
          <w:rFonts w:ascii="Arial" w:eastAsia="Arial" w:hAnsi="Arial" w:cs="Arial"/>
          <w:bCs/>
          <w:sz w:val="22"/>
          <w:szCs w:val="22"/>
        </w:rPr>
        <w:t xml:space="preserve">empleo </w:t>
      </w:r>
      <w:r w:rsidR="003436D7" w:rsidRPr="003436D7">
        <w:rPr>
          <w:rFonts w:ascii="Arial" w:eastAsia="Arial" w:hAnsi="Arial" w:cs="Arial"/>
          <w:bCs/>
          <w:sz w:val="22"/>
          <w:szCs w:val="22"/>
        </w:rPr>
        <w:t>para el último trimestre del año</w:t>
      </w:r>
      <w:r w:rsidR="00D13C81" w:rsidRPr="00D13C81">
        <w:rPr>
          <w:rFonts w:ascii="Arial" w:eastAsia="Arial" w:hAnsi="Arial" w:cs="Arial"/>
          <w:bCs/>
          <w:sz w:val="22"/>
          <w:szCs w:val="22"/>
        </w:rPr>
        <w:t xml:space="preserve"> </w:t>
      </w:r>
      <w:r w:rsidR="00D13C81">
        <w:rPr>
          <w:rFonts w:ascii="Arial" w:eastAsia="Arial" w:hAnsi="Arial" w:cs="Arial"/>
          <w:bCs/>
          <w:sz w:val="22"/>
          <w:szCs w:val="22"/>
        </w:rPr>
        <w:t>y se sitúa 4 puntos por encima de la media nacional (20%)</w:t>
      </w:r>
      <w:r w:rsidR="003436D7" w:rsidRPr="003436D7">
        <w:rPr>
          <w:rFonts w:ascii="Arial" w:eastAsia="Arial" w:hAnsi="Arial" w:cs="Arial"/>
          <w:bCs/>
          <w:sz w:val="22"/>
          <w:szCs w:val="22"/>
        </w:rPr>
        <w:t xml:space="preserve">. Según el último </w:t>
      </w:r>
      <w:r w:rsidR="003436D7" w:rsidRPr="003436D7">
        <w:rPr>
          <w:rFonts w:ascii="Arial" w:eastAsia="Arial" w:hAnsi="Arial" w:cs="Arial"/>
          <w:b/>
          <w:sz w:val="22"/>
          <w:szCs w:val="22"/>
        </w:rPr>
        <w:t>Estudio de Proyección de Empleo de ManpowerGroup</w:t>
      </w:r>
      <w:r w:rsidR="003436D7" w:rsidRPr="003436D7">
        <w:rPr>
          <w:rFonts w:ascii="Arial" w:eastAsia="Arial" w:hAnsi="Arial" w:cs="Arial"/>
          <w:bCs/>
          <w:sz w:val="22"/>
          <w:szCs w:val="22"/>
        </w:rPr>
        <w:t>,</w:t>
      </w:r>
      <w:r w:rsidR="00D960A9">
        <w:rPr>
          <w:rFonts w:ascii="Arial" w:eastAsia="Arial" w:hAnsi="Arial" w:cs="Arial"/>
          <w:bCs/>
          <w:sz w:val="22"/>
          <w:szCs w:val="22"/>
        </w:rPr>
        <w:t xml:space="preserve"> </w:t>
      </w:r>
      <w:r w:rsidR="00D13C81">
        <w:rPr>
          <w:rFonts w:ascii="Arial" w:eastAsia="Arial" w:hAnsi="Arial" w:cs="Arial"/>
          <w:bCs/>
          <w:sz w:val="22"/>
          <w:szCs w:val="22"/>
        </w:rPr>
        <w:t xml:space="preserve">el sector </w:t>
      </w:r>
      <w:r w:rsidR="00D960A9">
        <w:rPr>
          <w:rFonts w:ascii="Arial" w:eastAsia="Arial" w:hAnsi="Arial" w:cs="Arial"/>
          <w:bCs/>
          <w:sz w:val="22"/>
          <w:szCs w:val="22"/>
        </w:rPr>
        <w:t>alcanza una</w:t>
      </w:r>
      <w:r w:rsidR="00187D88">
        <w:rPr>
          <w:rFonts w:ascii="Arial" w:eastAsia="Arial" w:hAnsi="Arial" w:cs="Arial"/>
          <w:bCs/>
          <w:sz w:val="22"/>
          <w:szCs w:val="22"/>
        </w:rPr>
        <w:t>s</w:t>
      </w:r>
      <w:r w:rsidR="00D960A9">
        <w:rPr>
          <w:rFonts w:ascii="Arial" w:eastAsia="Arial" w:hAnsi="Arial" w:cs="Arial"/>
          <w:bCs/>
          <w:sz w:val="22"/>
          <w:szCs w:val="22"/>
        </w:rPr>
        <w:t xml:space="preserve"> </w:t>
      </w:r>
      <w:r w:rsidR="003436D7" w:rsidRPr="003436D7">
        <w:rPr>
          <w:rFonts w:ascii="Arial" w:eastAsia="Arial" w:hAnsi="Arial" w:cs="Arial"/>
          <w:bCs/>
          <w:sz w:val="22"/>
          <w:szCs w:val="22"/>
        </w:rPr>
        <w:t>previsi</w:t>
      </w:r>
      <w:r w:rsidR="00187D88">
        <w:rPr>
          <w:rFonts w:ascii="Arial" w:eastAsia="Arial" w:hAnsi="Arial" w:cs="Arial"/>
          <w:bCs/>
          <w:sz w:val="22"/>
          <w:szCs w:val="22"/>
        </w:rPr>
        <w:t>ones</w:t>
      </w:r>
      <w:r w:rsidR="003436D7" w:rsidRPr="003436D7">
        <w:rPr>
          <w:rFonts w:ascii="Arial" w:eastAsia="Arial" w:hAnsi="Arial" w:cs="Arial"/>
          <w:bCs/>
          <w:sz w:val="22"/>
          <w:szCs w:val="22"/>
        </w:rPr>
        <w:t xml:space="preserve"> neta</w:t>
      </w:r>
      <w:r w:rsidR="00187D88">
        <w:rPr>
          <w:rFonts w:ascii="Arial" w:eastAsia="Arial" w:hAnsi="Arial" w:cs="Arial"/>
          <w:bCs/>
          <w:sz w:val="22"/>
          <w:szCs w:val="22"/>
        </w:rPr>
        <w:t>s</w:t>
      </w:r>
      <w:r w:rsidR="003436D7" w:rsidRPr="003436D7">
        <w:rPr>
          <w:rFonts w:ascii="Arial" w:eastAsia="Arial" w:hAnsi="Arial" w:cs="Arial"/>
          <w:bCs/>
          <w:sz w:val="22"/>
          <w:szCs w:val="22"/>
        </w:rPr>
        <w:t xml:space="preserve"> de contratación </w:t>
      </w:r>
      <w:r w:rsidR="00D960A9">
        <w:rPr>
          <w:rFonts w:ascii="Arial" w:eastAsia="Arial" w:hAnsi="Arial" w:cs="Arial"/>
          <w:bCs/>
          <w:sz w:val="22"/>
          <w:szCs w:val="22"/>
        </w:rPr>
        <w:t>del</w:t>
      </w:r>
      <w:r w:rsidR="003436D7" w:rsidRPr="003436D7">
        <w:rPr>
          <w:rFonts w:ascii="Arial" w:eastAsia="Arial" w:hAnsi="Arial" w:cs="Arial"/>
          <w:bCs/>
          <w:sz w:val="22"/>
          <w:szCs w:val="22"/>
        </w:rPr>
        <w:t xml:space="preserve"> 2</w:t>
      </w:r>
      <w:r w:rsidR="00D960A9">
        <w:rPr>
          <w:rFonts w:ascii="Arial" w:eastAsia="Arial" w:hAnsi="Arial" w:cs="Arial"/>
          <w:bCs/>
          <w:sz w:val="22"/>
          <w:szCs w:val="22"/>
        </w:rPr>
        <w:t>4</w:t>
      </w:r>
      <w:r w:rsidR="003436D7" w:rsidRPr="003436D7">
        <w:rPr>
          <w:rFonts w:ascii="Arial" w:eastAsia="Arial" w:hAnsi="Arial" w:cs="Arial"/>
          <w:bCs/>
          <w:sz w:val="22"/>
          <w:szCs w:val="22"/>
        </w:rPr>
        <w:t xml:space="preserve">%, </w:t>
      </w:r>
      <w:r w:rsidR="00187D88">
        <w:rPr>
          <w:rFonts w:ascii="Arial" w:eastAsia="Arial" w:hAnsi="Arial" w:cs="Arial"/>
          <w:bCs/>
          <w:sz w:val="22"/>
          <w:szCs w:val="22"/>
        </w:rPr>
        <w:t>y supera el bache del periodo estival en el que manejaba unas previsiones planas (0%)</w:t>
      </w:r>
      <w:r w:rsidR="00D13C81">
        <w:rPr>
          <w:rFonts w:ascii="Arial" w:eastAsia="Arial" w:hAnsi="Arial" w:cs="Arial"/>
          <w:bCs/>
          <w:sz w:val="22"/>
          <w:szCs w:val="22"/>
        </w:rPr>
        <w:t xml:space="preserve">. </w:t>
      </w:r>
      <w:r w:rsidR="003436D7">
        <w:rPr>
          <w:rFonts w:ascii="Arial" w:eastAsia="Arial" w:hAnsi="Arial" w:cs="Arial"/>
          <w:bCs/>
          <w:sz w:val="22"/>
          <w:szCs w:val="22"/>
        </w:rPr>
        <w:t xml:space="preserve">Entre los meses de octubre y diciembre, </w:t>
      </w:r>
      <w:r w:rsidR="00D960A9">
        <w:rPr>
          <w:rFonts w:ascii="Arial" w:eastAsia="Arial" w:hAnsi="Arial" w:cs="Arial"/>
          <w:bCs/>
          <w:sz w:val="22"/>
          <w:szCs w:val="22"/>
        </w:rPr>
        <w:t>un 38% de las compañías del sector prevé ampliar sus plantillas</w:t>
      </w:r>
      <w:r w:rsidR="00187D88">
        <w:rPr>
          <w:rFonts w:ascii="Arial" w:eastAsia="Arial" w:hAnsi="Arial" w:cs="Arial"/>
          <w:bCs/>
          <w:sz w:val="22"/>
          <w:szCs w:val="22"/>
        </w:rPr>
        <w:t>,</w:t>
      </w:r>
      <w:r w:rsidR="00D960A9">
        <w:rPr>
          <w:rFonts w:ascii="Arial" w:eastAsia="Arial" w:hAnsi="Arial" w:cs="Arial"/>
          <w:bCs/>
          <w:sz w:val="22"/>
          <w:szCs w:val="22"/>
        </w:rPr>
        <w:t xml:space="preserve"> y un 45% tiene la intención de mantenerlas sin cambios; mientras que sólo un 14% estima reducirlas.</w:t>
      </w:r>
    </w:p>
    <w:p w14:paraId="319DB6FC" w14:textId="09B89265" w:rsidR="003436D7" w:rsidRDefault="003E34D9" w:rsidP="00783F06">
      <w:pPr>
        <w:spacing w:before="120" w:line="288" w:lineRule="auto"/>
        <w:jc w:val="both"/>
        <w:rPr>
          <w:rFonts w:ascii="Arial" w:eastAsia="Arial" w:hAnsi="Arial" w:cs="Arial"/>
          <w:sz w:val="22"/>
          <w:szCs w:val="22"/>
        </w:rPr>
      </w:pPr>
      <w:r w:rsidRPr="00D13C81">
        <w:rPr>
          <w:rFonts w:ascii="Arial" w:eastAsia="Arial" w:hAnsi="Arial" w:cs="Arial"/>
          <w:sz w:val="22"/>
          <w:szCs w:val="22"/>
        </w:rPr>
        <w:t>En este sentido,</w:t>
      </w:r>
      <w:r w:rsidRPr="00D13C81">
        <w:rPr>
          <w:rFonts w:ascii="Arial" w:eastAsia="Arial" w:hAnsi="Arial" w:cs="Arial"/>
          <w:b/>
          <w:bCs/>
          <w:sz w:val="22"/>
          <w:szCs w:val="22"/>
        </w:rPr>
        <w:t xml:space="preserve"> </w:t>
      </w:r>
      <w:r w:rsidR="00D960A9" w:rsidRPr="00D13C81">
        <w:rPr>
          <w:rFonts w:ascii="Arial" w:eastAsia="Arial" w:hAnsi="Arial" w:cs="Arial"/>
          <w:b/>
          <w:bCs/>
          <w:sz w:val="22"/>
          <w:szCs w:val="22"/>
        </w:rPr>
        <w:t xml:space="preserve">Óscar </w:t>
      </w:r>
      <w:proofErr w:type="spellStart"/>
      <w:r w:rsidR="00D960A9" w:rsidRPr="00D13C81">
        <w:rPr>
          <w:rFonts w:ascii="Arial" w:eastAsia="Arial" w:hAnsi="Arial" w:cs="Arial"/>
          <w:b/>
          <w:bCs/>
          <w:sz w:val="22"/>
          <w:szCs w:val="22"/>
        </w:rPr>
        <w:t>Lupión</w:t>
      </w:r>
      <w:proofErr w:type="spellEnd"/>
      <w:r w:rsidR="00D960A9" w:rsidRPr="00D13C81">
        <w:rPr>
          <w:rFonts w:ascii="Arial" w:eastAsia="Arial" w:hAnsi="Arial" w:cs="Arial"/>
          <w:b/>
          <w:bCs/>
          <w:sz w:val="22"/>
          <w:szCs w:val="22"/>
        </w:rPr>
        <w:t>, director corporativo de Energía en ManpowerGroup,</w:t>
      </w:r>
      <w:r w:rsidRPr="00D13C81">
        <w:rPr>
          <w:rFonts w:ascii="Arial" w:eastAsia="Arial" w:hAnsi="Arial" w:cs="Arial"/>
          <w:sz w:val="22"/>
          <w:szCs w:val="22"/>
        </w:rPr>
        <w:t xml:space="preserve"> afirma que </w:t>
      </w:r>
      <w:r w:rsidRPr="00D13C81">
        <w:rPr>
          <w:rFonts w:ascii="Arial" w:eastAsia="Arial" w:hAnsi="Arial" w:cs="Arial"/>
          <w:i/>
          <w:iCs/>
          <w:sz w:val="22"/>
          <w:szCs w:val="22"/>
        </w:rPr>
        <w:t>“</w:t>
      </w:r>
      <w:r w:rsidR="00AE23F5" w:rsidRPr="00D13C81">
        <w:rPr>
          <w:rFonts w:ascii="Arial" w:eastAsia="Arial" w:hAnsi="Arial" w:cs="Arial"/>
          <w:i/>
          <w:iCs/>
          <w:sz w:val="22"/>
          <w:szCs w:val="22"/>
        </w:rPr>
        <w:t xml:space="preserve">el repunte registrado para el último trimestre del año refleja la fuerte </w:t>
      </w:r>
      <w:r w:rsidR="00187D88" w:rsidRPr="00D13C81">
        <w:rPr>
          <w:rFonts w:ascii="Arial" w:eastAsia="Arial" w:hAnsi="Arial" w:cs="Arial"/>
          <w:i/>
          <w:iCs/>
          <w:sz w:val="22"/>
          <w:szCs w:val="22"/>
        </w:rPr>
        <w:t xml:space="preserve">necesidad </w:t>
      </w:r>
      <w:r w:rsidR="00AE23F5" w:rsidRPr="00D13C81">
        <w:rPr>
          <w:rFonts w:ascii="Arial" w:eastAsia="Arial" w:hAnsi="Arial" w:cs="Arial"/>
          <w:i/>
          <w:iCs/>
          <w:sz w:val="22"/>
          <w:szCs w:val="22"/>
        </w:rPr>
        <w:t>de talento en el sector, impulsada por la creciente transición energética y los proyectos de sostenibilidad. Las empresas están reforzando sus equipos para responder a las necesidades de infraestructura y suministro en un contexto de transformación hacia fuentes más limpias y eficientes. Esto ha llevado a una reactivación de</w:t>
      </w:r>
      <w:r w:rsidR="00D13C81" w:rsidRPr="00D13C81">
        <w:rPr>
          <w:rFonts w:ascii="Arial" w:eastAsia="Arial" w:hAnsi="Arial" w:cs="Arial"/>
          <w:i/>
          <w:iCs/>
          <w:sz w:val="22"/>
          <w:szCs w:val="22"/>
        </w:rPr>
        <w:t xml:space="preserve"> la demanda de profesionales</w:t>
      </w:r>
      <w:r w:rsidR="00AE23F5" w:rsidRPr="00D13C81">
        <w:rPr>
          <w:rFonts w:ascii="Arial" w:eastAsia="Arial" w:hAnsi="Arial" w:cs="Arial"/>
          <w:i/>
          <w:iCs/>
          <w:sz w:val="22"/>
          <w:szCs w:val="22"/>
        </w:rPr>
        <w:t xml:space="preserve"> en un sector clave para la economía y la sociedad</w:t>
      </w:r>
      <w:r w:rsidR="00700FE8" w:rsidRPr="00D13C81">
        <w:rPr>
          <w:rFonts w:ascii="Arial" w:eastAsia="Arial" w:hAnsi="Arial" w:cs="Arial"/>
          <w:i/>
          <w:iCs/>
          <w:sz w:val="22"/>
          <w:szCs w:val="22"/>
        </w:rPr>
        <w:t>”.</w:t>
      </w:r>
    </w:p>
    <w:p w14:paraId="4D2FF1BD" w14:textId="77777777" w:rsidR="007C5E67" w:rsidRPr="00F0521A" w:rsidRDefault="007C5E67" w:rsidP="00783F06">
      <w:pPr>
        <w:spacing w:before="120" w:line="288" w:lineRule="auto"/>
        <w:jc w:val="both"/>
        <w:rPr>
          <w:rFonts w:ascii="Arial" w:eastAsia="Arial" w:hAnsi="Arial" w:cs="Arial"/>
          <w:i/>
          <w:iCs/>
          <w:sz w:val="22"/>
          <w:szCs w:val="22"/>
        </w:rPr>
      </w:pPr>
    </w:p>
    <w:bookmarkEnd w:id="3"/>
    <w:bookmarkEnd w:id="4"/>
    <w:p w14:paraId="0543BEC9" w14:textId="77777777" w:rsidR="00D13C81" w:rsidRDefault="00D13C81" w:rsidP="00D13C81">
      <w:pPr>
        <w:spacing w:before="120" w:line="288" w:lineRule="auto"/>
        <w:jc w:val="both"/>
        <w:rPr>
          <w:rFonts w:ascii="Arial" w:eastAsia="Arial" w:hAnsi="Arial" w:cs="Arial"/>
          <w:b/>
          <w:bCs/>
          <w:sz w:val="22"/>
          <w:szCs w:val="22"/>
        </w:rPr>
      </w:pPr>
      <w:r>
        <w:rPr>
          <w:rFonts w:ascii="Arial" w:eastAsia="Arial" w:hAnsi="Arial" w:cs="Arial"/>
          <w:b/>
          <w:bCs/>
          <w:sz w:val="22"/>
          <w:szCs w:val="22"/>
        </w:rPr>
        <w:t>Financiero e inmobiliario, el sector más optimista</w:t>
      </w:r>
    </w:p>
    <w:p w14:paraId="12FAD9C6" w14:textId="77777777" w:rsidR="00D13C81" w:rsidRDefault="00D13C81" w:rsidP="00D13C81">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3436D7">
        <w:rPr>
          <w:rFonts w:ascii="Arial" w:eastAsia="Arial" w:hAnsi="Arial" w:cs="Arial"/>
          <w:bCs/>
          <w:sz w:val="22"/>
          <w:szCs w:val="22"/>
        </w:rPr>
        <w:t xml:space="preserve">sector </w:t>
      </w:r>
      <w:r w:rsidRPr="006B6B25">
        <w:rPr>
          <w:rFonts w:ascii="Arial" w:eastAsia="Arial" w:hAnsi="Arial" w:cs="Arial"/>
          <w:b/>
          <w:sz w:val="22"/>
          <w:szCs w:val="22"/>
        </w:rPr>
        <w:t>Financiero e inmobiliario</w:t>
      </w:r>
      <w:r w:rsidRPr="003436D7">
        <w:rPr>
          <w:rFonts w:ascii="Arial" w:eastAsia="Arial" w:hAnsi="Arial" w:cs="Arial"/>
          <w:bCs/>
          <w:sz w:val="22"/>
          <w:szCs w:val="22"/>
        </w:rPr>
        <w:t xml:space="preserve"> en España muestra un </w:t>
      </w:r>
      <w:r>
        <w:rPr>
          <w:rFonts w:ascii="Arial" w:eastAsia="Arial" w:hAnsi="Arial" w:cs="Arial"/>
          <w:bCs/>
          <w:sz w:val="22"/>
          <w:szCs w:val="22"/>
        </w:rPr>
        <w:t xml:space="preserve">lidera en </w:t>
      </w:r>
      <w:r w:rsidRPr="003436D7">
        <w:rPr>
          <w:rFonts w:ascii="Arial" w:eastAsia="Arial" w:hAnsi="Arial" w:cs="Arial"/>
          <w:bCs/>
          <w:sz w:val="22"/>
          <w:szCs w:val="22"/>
        </w:rPr>
        <w:t xml:space="preserve">optimismo en sus expectativas de </w:t>
      </w:r>
      <w:r>
        <w:rPr>
          <w:rFonts w:ascii="Arial" w:eastAsia="Arial" w:hAnsi="Arial" w:cs="Arial"/>
          <w:bCs/>
          <w:sz w:val="22"/>
          <w:szCs w:val="22"/>
        </w:rPr>
        <w:t xml:space="preserve">generar empleo </w:t>
      </w:r>
      <w:r w:rsidRPr="003436D7">
        <w:rPr>
          <w:rFonts w:ascii="Arial" w:eastAsia="Arial" w:hAnsi="Arial" w:cs="Arial"/>
          <w:bCs/>
          <w:sz w:val="22"/>
          <w:szCs w:val="22"/>
        </w:rPr>
        <w:t>para el último trimestre del añ</w:t>
      </w:r>
      <w:r>
        <w:rPr>
          <w:rFonts w:ascii="Arial" w:eastAsia="Arial" w:hAnsi="Arial" w:cs="Arial"/>
          <w:bCs/>
          <w:sz w:val="22"/>
          <w:szCs w:val="22"/>
        </w:rPr>
        <w:t xml:space="preserve">o, hasta situarse en el 29%. Esto representa </w:t>
      </w:r>
      <w:r w:rsidRPr="003436D7">
        <w:rPr>
          <w:rFonts w:ascii="Arial" w:eastAsia="Arial" w:hAnsi="Arial" w:cs="Arial"/>
          <w:bCs/>
          <w:sz w:val="22"/>
          <w:szCs w:val="22"/>
        </w:rPr>
        <w:t>un crecimiento de 17 puntos respecto al trimestre anterior</w:t>
      </w:r>
      <w:r>
        <w:rPr>
          <w:rFonts w:ascii="Arial" w:eastAsia="Arial" w:hAnsi="Arial" w:cs="Arial"/>
          <w:bCs/>
          <w:sz w:val="22"/>
          <w:szCs w:val="22"/>
        </w:rPr>
        <w:t xml:space="preserve"> y de 3 puntos en comparación con el mismo periodo de 2023.</w:t>
      </w:r>
    </w:p>
    <w:p w14:paraId="3C812F9C" w14:textId="7CAD36A2" w:rsidR="00D13C81" w:rsidRDefault="00D13C81" w:rsidP="00D13C81">
      <w:pPr>
        <w:spacing w:before="120" w:line="288" w:lineRule="auto"/>
        <w:jc w:val="both"/>
        <w:rPr>
          <w:rFonts w:ascii="Arial" w:eastAsia="Arial" w:hAnsi="Arial" w:cs="Arial"/>
          <w:sz w:val="22"/>
          <w:szCs w:val="22"/>
        </w:rPr>
      </w:pPr>
      <w:r>
        <w:rPr>
          <w:rFonts w:ascii="Arial" w:eastAsia="Arial" w:hAnsi="Arial" w:cs="Arial"/>
          <w:bCs/>
          <w:sz w:val="22"/>
          <w:szCs w:val="22"/>
        </w:rPr>
        <w:lastRenderedPageBreak/>
        <w:t>Completando el pódium</w:t>
      </w:r>
      <w:r w:rsidRPr="009F2A76">
        <w:rPr>
          <w:rFonts w:ascii="Arial" w:eastAsia="Arial" w:hAnsi="Arial" w:cs="Arial"/>
          <w:bCs/>
          <w:sz w:val="22"/>
          <w:szCs w:val="22"/>
        </w:rPr>
        <w:t>,</w:t>
      </w:r>
      <w:r>
        <w:rPr>
          <w:rFonts w:ascii="Arial" w:eastAsia="Arial" w:hAnsi="Arial" w:cs="Arial"/>
          <w:bCs/>
          <w:sz w:val="22"/>
          <w:szCs w:val="22"/>
        </w:rPr>
        <w:t xml:space="preserve"> junto a </w:t>
      </w:r>
      <w:r w:rsidRPr="009F2A76">
        <w:rPr>
          <w:rFonts w:ascii="Arial" w:eastAsia="Arial" w:hAnsi="Arial" w:cs="Arial"/>
          <w:b/>
          <w:sz w:val="22"/>
          <w:szCs w:val="22"/>
        </w:rPr>
        <w:t>Energía y suministros</w:t>
      </w:r>
      <w:r w:rsidRPr="00483F52">
        <w:rPr>
          <w:rFonts w:ascii="Arial" w:eastAsia="Arial" w:hAnsi="Arial" w:cs="Arial"/>
          <w:bCs/>
          <w:sz w:val="22"/>
          <w:szCs w:val="22"/>
        </w:rPr>
        <w:t>,</w:t>
      </w:r>
      <w:r>
        <w:rPr>
          <w:rFonts w:ascii="Arial" w:eastAsia="Arial" w:hAnsi="Arial" w:cs="Arial"/>
          <w:b/>
          <w:sz w:val="22"/>
          <w:szCs w:val="22"/>
        </w:rPr>
        <w:t xml:space="preserve"> </w:t>
      </w:r>
      <w:r w:rsidRPr="009F2A76">
        <w:rPr>
          <w:rFonts w:ascii="Arial" w:eastAsia="Arial" w:hAnsi="Arial" w:cs="Arial"/>
          <w:b/>
          <w:sz w:val="22"/>
          <w:szCs w:val="22"/>
        </w:rPr>
        <w:t>Bienes y servicios de consumo</w:t>
      </w:r>
      <w:r>
        <w:rPr>
          <w:rFonts w:ascii="Arial" w:eastAsia="Arial" w:hAnsi="Arial" w:cs="Arial"/>
          <w:b/>
          <w:sz w:val="22"/>
          <w:szCs w:val="22"/>
        </w:rPr>
        <w:t xml:space="preserve"> (24%)</w:t>
      </w:r>
      <w:r w:rsidRPr="00483F52">
        <w:rPr>
          <w:rFonts w:ascii="Arial" w:eastAsia="Arial" w:hAnsi="Arial" w:cs="Arial"/>
          <w:bCs/>
          <w:sz w:val="22"/>
          <w:szCs w:val="22"/>
        </w:rPr>
        <w:t xml:space="preserve">, </w:t>
      </w:r>
      <w:r w:rsidR="006B37D4">
        <w:rPr>
          <w:rFonts w:ascii="Arial" w:eastAsia="Arial" w:hAnsi="Arial" w:cs="Arial"/>
          <w:bCs/>
          <w:sz w:val="22"/>
          <w:szCs w:val="22"/>
        </w:rPr>
        <w:t>que aumenta 5</w:t>
      </w:r>
      <w:r w:rsidRPr="00483F52">
        <w:rPr>
          <w:rFonts w:ascii="Arial" w:eastAsia="Arial" w:hAnsi="Arial" w:cs="Arial"/>
          <w:bCs/>
          <w:sz w:val="22"/>
          <w:szCs w:val="22"/>
        </w:rPr>
        <w:t xml:space="preserve"> puntos </w:t>
      </w:r>
      <w:r>
        <w:rPr>
          <w:rFonts w:ascii="Arial" w:eastAsia="Arial" w:hAnsi="Arial" w:cs="Arial"/>
          <w:bCs/>
          <w:sz w:val="22"/>
          <w:szCs w:val="22"/>
        </w:rPr>
        <w:t>en la comparativa intertrimestral</w:t>
      </w:r>
      <w:r w:rsidRPr="00483F52">
        <w:rPr>
          <w:rFonts w:ascii="Arial" w:eastAsia="Arial" w:hAnsi="Arial" w:cs="Arial"/>
          <w:bCs/>
          <w:sz w:val="22"/>
          <w:szCs w:val="22"/>
        </w:rPr>
        <w:t xml:space="preserve">. </w:t>
      </w:r>
      <w:r>
        <w:rPr>
          <w:rFonts w:ascii="Arial" w:eastAsia="Arial" w:hAnsi="Arial" w:cs="Arial"/>
          <w:b/>
          <w:bCs/>
          <w:sz w:val="22"/>
          <w:szCs w:val="22"/>
        </w:rPr>
        <w:t xml:space="preserve">Industria </w:t>
      </w:r>
      <w:r w:rsidRPr="00830B2F">
        <w:rPr>
          <w:rFonts w:ascii="Arial" w:eastAsia="Arial" w:hAnsi="Arial" w:cs="Arial"/>
          <w:sz w:val="22"/>
          <w:szCs w:val="22"/>
        </w:rPr>
        <w:t>registra</w:t>
      </w:r>
      <w:r w:rsidRPr="00483F52">
        <w:rPr>
          <w:rFonts w:ascii="Arial" w:eastAsia="Arial" w:hAnsi="Arial" w:cs="Arial"/>
          <w:bCs/>
          <w:sz w:val="22"/>
          <w:szCs w:val="22"/>
        </w:rPr>
        <w:t xml:space="preserve"> </w:t>
      </w:r>
      <w:r w:rsidRPr="00483F52">
        <w:rPr>
          <w:rFonts w:ascii="Arial" w:eastAsia="Arial" w:hAnsi="Arial" w:cs="Arial"/>
          <w:sz w:val="22"/>
          <w:szCs w:val="22"/>
        </w:rPr>
        <w:t>unas previsiones netas de empleo del 2</w:t>
      </w:r>
      <w:r>
        <w:rPr>
          <w:rFonts w:ascii="Arial" w:eastAsia="Arial" w:hAnsi="Arial" w:cs="Arial"/>
          <w:sz w:val="22"/>
          <w:szCs w:val="22"/>
        </w:rPr>
        <w:t>2</w:t>
      </w:r>
      <w:r w:rsidRPr="00483F52">
        <w:rPr>
          <w:rFonts w:ascii="Arial" w:eastAsia="Arial" w:hAnsi="Arial" w:cs="Arial"/>
          <w:sz w:val="22"/>
          <w:szCs w:val="22"/>
        </w:rPr>
        <w:t>%</w:t>
      </w:r>
      <w:r>
        <w:rPr>
          <w:rFonts w:ascii="Arial" w:eastAsia="Arial" w:hAnsi="Arial" w:cs="Arial"/>
          <w:sz w:val="22"/>
          <w:szCs w:val="22"/>
        </w:rPr>
        <w:t>.</w:t>
      </w:r>
    </w:p>
    <w:p w14:paraId="700560AD" w14:textId="0D1E3190" w:rsidR="00D13C81" w:rsidRDefault="00D13C81" w:rsidP="00D13C81">
      <w:pPr>
        <w:spacing w:before="120" w:line="288" w:lineRule="auto"/>
        <w:jc w:val="both"/>
        <w:rPr>
          <w:rFonts w:ascii="Arial" w:eastAsia="Arial" w:hAnsi="Arial" w:cs="Arial"/>
          <w:bCs/>
          <w:sz w:val="22"/>
          <w:szCs w:val="22"/>
        </w:rPr>
      </w:pPr>
      <w:bookmarkStart w:id="5" w:name="_Hlk177490925"/>
      <w:r>
        <w:rPr>
          <w:rFonts w:ascii="Arial" w:eastAsia="Arial" w:hAnsi="Arial" w:cs="Arial"/>
          <w:bCs/>
          <w:sz w:val="22"/>
          <w:szCs w:val="22"/>
        </w:rPr>
        <w:t xml:space="preserve">En el lado opuesto, </w:t>
      </w:r>
      <w:r>
        <w:rPr>
          <w:rFonts w:ascii="Arial" w:eastAsia="Arial" w:hAnsi="Arial" w:cs="Arial"/>
          <w:b/>
          <w:sz w:val="22"/>
          <w:szCs w:val="22"/>
        </w:rPr>
        <w:t>Transporte, logística y automoción</w:t>
      </w:r>
      <w:r>
        <w:rPr>
          <w:rFonts w:ascii="Arial" w:eastAsia="Arial" w:hAnsi="Arial" w:cs="Arial"/>
          <w:bCs/>
          <w:sz w:val="22"/>
          <w:szCs w:val="22"/>
        </w:rPr>
        <w:t xml:space="preserve"> muestra un descenso de 10 puntos respecto al periodo estival, hasta situarse en un 9%. Asimismo, las empresas de </w:t>
      </w:r>
      <w:r>
        <w:rPr>
          <w:rFonts w:ascii="Arial" w:eastAsia="Arial" w:hAnsi="Arial" w:cs="Arial"/>
          <w:b/>
          <w:bCs/>
          <w:sz w:val="22"/>
          <w:szCs w:val="22"/>
        </w:rPr>
        <w:t>Salud y farmacia</w:t>
      </w:r>
      <w:r>
        <w:rPr>
          <w:rFonts w:ascii="Arial" w:eastAsia="Arial" w:hAnsi="Arial" w:cs="Arial"/>
          <w:sz w:val="22"/>
          <w:szCs w:val="22"/>
        </w:rPr>
        <w:t xml:space="preserve"> que,</w:t>
      </w:r>
      <w:r>
        <w:rPr>
          <w:rFonts w:ascii="Arial" w:eastAsia="Arial" w:hAnsi="Arial" w:cs="Arial"/>
          <w:bCs/>
          <w:sz w:val="22"/>
          <w:szCs w:val="22"/>
        </w:rPr>
        <w:t xml:space="preserve"> tras liderar las expectativas de generación de empleo en el tercer trimestre, pierden 1</w:t>
      </w:r>
      <w:r w:rsidR="006B37D4">
        <w:rPr>
          <w:rFonts w:ascii="Arial" w:eastAsia="Arial" w:hAnsi="Arial" w:cs="Arial"/>
          <w:bCs/>
          <w:sz w:val="22"/>
          <w:szCs w:val="22"/>
        </w:rPr>
        <w:t>9</w:t>
      </w:r>
      <w:r>
        <w:rPr>
          <w:rFonts w:ascii="Arial" w:eastAsia="Arial" w:hAnsi="Arial" w:cs="Arial"/>
          <w:bCs/>
          <w:sz w:val="22"/>
          <w:szCs w:val="22"/>
        </w:rPr>
        <w:t xml:space="preserve"> puntos y se sitúan en un 8% para el cierre de año. </w:t>
      </w:r>
      <w:bookmarkStart w:id="6" w:name="_Hlk177490119"/>
      <w:r>
        <w:rPr>
          <w:rFonts w:ascii="Arial" w:eastAsia="Arial" w:hAnsi="Arial" w:cs="Arial"/>
          <w:bCs/>
          <w:sz w:val="22"/>
          <w:szCs w:val="22"/>
        </w:rPr>
        <w:t xml:space="preserve">Por último, </w:t>
      </w:r>
      <w:r>
        <w:rPr>
          <w:rFonts w:ascii="Arial" w:eastAsia="Arial" w:hAnsi="Arial" w:cs="Arial"/>
          <w:b/>
          <w:bCs/>
          <w:sz w:val="22"/>
          <w:szCs w:val="22"/>
        </w:rPr>
        <w:t>Publicidad y comunicación,</w:t>
      </w:r>
      <w:r>
        <w:rPr>
          <w:rFonts w:ascii="Arial" w:eastAsia="Arial" w:hAnsi="Arial" w:cs="Arial"/>
          <w:bCs/>
          <w:sz w:val="22"/>
          <w:szCs w:val="22"/>
        </w:rPr>
        <w:t xml:space="preserve"> aunque ha mostrado una mejora intertrimestral de 4 puntos, se mantiene en negativo con un -5</w:t>
      </w:r>
      <w:bookmarkEnd w:id="6"/>
      <w:r>
        <w:rPr>
          <w:rFonts w:ascii="Arial" w:eastAsia="Arial" w:hAnsi="Arial" w:cs="Arial"/>
          <w:bCs/>
          <w:sz w:val="22"/>
          <w:szCs w:val="22"/>
        </w:rPr>
        <w:t>%.</w:t>
      </w:r>
    </w:p>
    <w:bookmarkEnd w:id="5"/>
    <w:p w14:paraId="4AF50187" w14:textId="77777777" w:rsidR="00D13C81" w:rsidRDefault="00D13C81" w:rsidP="00D13C81">
      <w:pPr>
        <w:spacing w:before="120" w:line="288" w:lineRule="auto"/>
        <w:jc w:val="both"/>
        <w:rPr>
          <w:rFonts w:ascii="Arial" w:eastAsia="Arial" w:hAnsi="Arial" w:cs="Arial"/>
          <w:bCs/>
          <w:sz w:val="22"/>
          <w:szCs w:val="22"/>
        </w:rPr>
      </w:pPr>
      <w:r w:rsidRPr="00911D5D">
        <w:rPr>
          <w:rFonts w:ascii="Arial" w:eastAsiaTheme="minorEastAsia" w:hAnsi="Arial" w:cs="Arial"/>
          <w:b/>
          <w:bCs/>
          <w:i/>
          <w:iCs/>
          <w:noProof/>
          <w:sz w:val="18"/>
          <w:szCs w:val="18"/>
          <w:lang w:eastAsia="zh-CN"/>
        </w:rPr>
        <w:drawing>
          <wp:inline distT="0" distB="0" distL="0" distR="0" wp14:anchorId="47CA56DC" wp14:editId="387306C5">
            <wp:extent cx="5760085" cy="2067560"/>
            <wp:effectExtent l="0" t="0" r="0" b="8890"/>
            <wp:docPr id="134041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75467" name=""/>
                    <pic:cNvPicPr/>
                  </pic:nvPicPr>
                  <pic:blipFill>
                    <a:blip r:embed="rId8"/>
                    <a:stretch>
                      <a:fillRect/>
                    </a:stretch>
                  </pic:blipFill>
                  <pic:spPr>
                    <a:xfrm>
                      <a:off x="0" y="0"/>
                      <a:ext cx="5760085" cy="2067560"/>
                    </a:xfrm>
                    <a:prstGeom prst="rect">
                      <a:avLst/>
                    </a:prstGeom>
                  </pic:spPr>
                </pic:pic>
              </a:graphicData>
            </a:graphic>
          </wp:inline>
        </w:drawing>
      </w:r>
    </w:p>
    <w:p w14:paraId="344874A8" w14:textId="77777777" w:rsidR="00D13C81" w:rsidRDefault="00D13C81" w:rsidP="00D13C81">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5AB017FD" w14:textId="77777777" w:rsidR="00D13C81" w:rsidRDefault="00D13C81" w:rsidP="00D13C81">
      <w:pPr>
        <w:spacing w:before="120" w:line="288" w:lineRule="auto"/>
        <w:jc w:val="both"/>
        <w:rPr>
          <w:rFonts w:ascii="Arial" w:eastAsia="Arial" w:hAnsi="Arial" w:cs="Arial"/>
          <w:bCs/>
          <w:sz w:val="22"/>
          <w:szCs w:val="22"/>
        </w:rPr>
      </w:pPr>
    </w:p>
    <w:p w14:paraId="30951F46" w14:textId="77777777" w:rsidR="00D13C81" w:rsidRDefault="00D13C81" w:rsidP="00D13C81">
      <w:pPr>
        <w:spacing w:before="120" w:line="288" w:lineRule="auto"/>
        <w:jc w:val="both"/>
        <w:rPr>
          <w:rFonts w:ascii="Arial" w:eastAsia="Arial" w:hAnsi="Arial" w:cs="Arial"/>
          <w:b/>
          <w:bCs/>
          <w:sz w:val="22"/>
          <w:szCs w:val="22"/>
        </w:rPr>
      </w:pPr>
      <w:r w:rsidRPr="0036519F">
        <w:rPr>
          <w:rFonts w:ascii="Arial" w:eastAsia="Arial" w:hAnsi="Arial" w:cs="Arial"/>
          <w:b/>
          <w:bCs/>
          <w:sz w:val="22"/>
          <w:szCs w:val="22"/>
        </w:rPr>
        <w:t>Tecnología</w:t>
      </w:r>
      <w:r>
        <w:rPr>
          <w:rFonts w:ascii="Arial" w:eastAsia="Arial" w:hAnsi="Arial" w:cs="Arial"/>
          <w:b/>
          <w:bCs/>
          <w:sz w:val="22"/>
          <w:szCs w:val="22"/>
        </w:rPr>
        <w:t xml:space="preserve"> a la cabeza a nivel global, una vez más</w:t>
      </w:r>
    </w:p>
    <w:p w14:paraId="154F6A5A" w14:textId="77777777" w:rsidR="00ED2842" w:rsidRDefault="00ED2842" w:rsidP="00ED2842">
      <w:pPr>
        <w:spacing w:before="120" w:line="288" w:lineRule="auto"/>
        <w:jc w:val="both"/>
        <w:rPr>
          <w:rFonts w:ascii="Arial" w:eastAsia="Arial" w:hAnsi="Arial" w:cs="Arial"/>
          <w:sz w:val="22"/>
          <w:szCs w:val="22"/>
        </w:rPr>
      </w:pPr>
      <w:r>
        <w:rPr>
          <w:rFonts w:ascii="Arial" w:eastAsia="Arial" w:hAnsi="Arial" w:cs="Arial"/>
          <w:sz w:val="22"/>
          <w:szCs w:val="22"/>
        </w:rPr>
        <w:t>En el análisis global, las empresas tecnológicas se mantienen a la cabeza en optimismo y, además, mejoran en 6 puntos en la comparativa intertrimestral, para registrar unas previsiones netas del 35%.</w:t>
      </w:r>
    </w:p>
    <w:p w14:paraId="2E14C140" w14:textId="190A343C" w:rsidR="0036519F" w:rsidRPr="0036519F" w:rsidRDefault="00D13C81" w:rsidP="0036519F">
      <w:pPr>
        <w:spacing w:before="120" w:line="288" w:lineRule="auto"/>
        <w:jc w:val="both"/>
        <w:rPr>
          <w:rFonts w:ascii="Arial" w:eastAsia="Arial" w:hAnsi="Arial" w:cs="Arial"/>
          <w:b/>
          <w:bCs/>
          <w:sz w:val="22"/>
          <w:szCs w:val="22"/>
        </w:rPr>
      </w:pPr>
      <w:r>
        <w:rPr>
          <w:rFonts w:ascii="Arial" w:eastAsia="Arial" w:hAnsi="Arial" w:cs="Arial"/>
          <w:sz w:val="22"/>
          <w:szCs w:val="22"/>
        </w:rPr>
        <w:t xml:space="preserve">Energía y suministros, en la escena internacional, se sitúa a la cola con un 8%, lejos </w:t>
      </w:r>
      <w:r w:rsidR="0036519F">
        <w:rPr>
          <w:rFonts w:ascii="Arial" w:eastAsia="Arial" w:hAnsi="Arial" w:cs="Arial"/>
          <w:sz w:val="22"/>
          <w:szCs w:val="22"/>
        </w:rPr>
        <w:t>de la media internacional (25%)</w:t>
      </w:r>
      <w:r w:rsidR="0036519F" w:rsidRPr="0036519F">
        <w:rPr>
          <w:rFonts w:ascii="Arial" w:eastAsia="Arial" w:hAnsi="Arial" w:cs="Arial"/>
          <w:sz w:val="22"/>
          <w:szCs w:val="22"/>
        </w:rPr>
        <w:t>.</w:t>
      </w:r>
    </w:p>
    <w:p w14:paraId="6FA969B4" w14:textId="4315B63F" w:rsidR="00E12E1F" w:rsidRPr="00687087" w:rsidRDefault="0036519F" w:rsidP="00783F06">
      <w:pPr>
        <w:spacing w:before="120" w:line="288" w:lineRule="auto"/>
        <w:jc w:val="right"/>
        <w:rPr>
          <w:rFonts w:ascii="Arial" w:eastAsiaTheme="minorEastAsia" w:hAnsi="Arial" w:cs="Arial"/>
          <w:b/>
          <w:bCs/>
          <w:i/>
          <w:iCs/>
          <w:sz w:val="18"/>
          <w:szCs w:val="18"/>
          <w:lang w:eastAsia="zh-CN"/>
        </w:rPr>
      </w:pPr>
      <w:bookmarkStart w:id="7" w:name="_Hlk161240482"/>
      <w:r w:rsidRPr="0036519F">
        <w:rPr>
          <w:rFonts w:ascii="Arial" w:eastAsiaTheme="minorEastAsia" w:hAnsi="Arial" w:cs="Arial"/>
          <w:b/>
          <w:bCs/>
          <w:i/>
          <w:iCs/>
          <w:noProof/>
          <w:sz w:val="18"/>
          <w:szCs w:val="18"/>
          <w:lang w:eastAsia="zh-CN"/>
        </w:rPr>
        <w:drawing>
          <wp:inline distT="0" distB="0" distL="0" distR="0" wp14:anchorId="32FD71CB" wp14:editId="3C9F7033">
            <wp:extent cx="5760085" cy="2148205"/>
            <wp:effectExtent l="0" t="0" r="0" b="4445"/>
            <wp:docPr id="1879386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86321" name=""/>
                    <pic:cNvPicPr/>
                  </pic:nvPicPr>
                  <pic:blipFill>
                    <a:blip r:embed="rId9"/>
                    <a:stretch>
                      <a:fillRect/>
                    </a:stretch>
                  </pic:blipFill>
                  <pic:spPr>
                    <a:xfrm>
                      <a:off x="0" y="0"/>
                      <a:ext cx="5760085" cy="2148205"/>
                    </a:xfrm>
                    <a:prstGeom prst="rect">
                      <a:avLst/>
                    </a:prstGeom>
                  </pic:spPr>
                </pic:pic>
              </a:graphicData>
            </a:graphic>
          </wp:inline>
        </w:drawing>
      </w:r>
      <w:r w:rsidR="00E12E1F" w:rsidRPr="00687087">
        <w:rPr>
          <w:rFonts w:ascii="Arial" w:eastAsiaTheme="minorEastAsia" w:hAnsi="Arial" w:cs="Arial"/>
          <w:b/>
          <w:bCs/>
          <w:i/>
          <w:iCs/>
          <w:sz w:val="18"/>
          <w:szCs w:val="18"/>
          <w:lang w:eastAsia="zh-CN"/>
        </w:rPr>
        <w:t xml:space="preserve">Intención de contratación por </w:t>
      </w:r>
      <w:r w:rsidR="00E12E1F">
        <w:rPr>
          <w:rFonts w:ascii="Arial" w:eastAsiaTheme="minorEastAsia" w:hAnsi="Arial" w:cs="Arial"/>
          <w:b/>
          <w:bCs/>
          <w:i/>
          <w:iCs/>
          <w:sz w:val="18"/>
          <w:szCs w:val="18"/>
          <w:lang w:eastAsia="zh-CN"/>
        </w:rPr>
        <w:t>sectores a nivel global</w:t>
      </w:r>
    </w:p>
    <w:bookmarkEnd w:id="7"/>
    <w:p w14:paraId="51491A3F" w14:textId="77777777" w:rsidR="00E12E1F" w:rsidRDefault="00E12E1F" w:rsidP="00783F06">
      <w:pPr>
        <w:spacing w:before="120" w:line="288" w:lineRule="auto"/>
        <w:jc w:val="both"/>
        <w:rPr>
          <w:rFonts w:ascii="Arial" w:eastAsia="Arial" w:hAnsi="Arial" w:cs="Arial"/>
          <w:sz w:val="22"/>
          <w:szCs w:val="22"/>
        </w:rPr>
      </w:pPr>
    </w:p>
    <w:p w14:paraId="3623179B" w14:textId="5CD456E3" w:rsidR="0036519F" w:rsidRPr="00DC55EB" w:rsidRDefault="0036519F" w:rsidP="0036519F">
      <w:pPr>
        <w:spacing w:before="120" w:line="276" w:lineRule="auto"/>
        <w:jc w:val="both"/>
        <w:rPr>
          <w:rFonts w:ascii="Arial" w:hAnsi="Arial" w:cs="Arial"/>
          <w:sz w:val="20"/>
          <w:szCs w:val="20"/>
        </w:rPr>
      </w:pPr>
      <w:r w:rsidRPr="00DC55EB">
        <w:rPr>
          <w:rFonts w:ascii="Arial" w:hAnsi="Arial" w:cs="Arial"/>
          <w:b/>
          <w:bCs/>
          <w:sz w:val="20"/>
          <w:szCs w:val="20"/>
        </w:rPr>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340</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7B4D6C86" w14:textId="77777777" w:rsidR="0036519F" w:rsidRPr="00143F63" w:rsidRDefault="0036519F" w:rsidP="0036519F">
      <w:pPr>
        <w:spacing w:before="120" w:line="276" w:lineRule="auto"/>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 xml:space="preserve">cambiará el empleo total en su empresa en el próximo trimestre, desde </w:t>
      </w:r>
      <w:r>
        <w:rPr>
          <w:rFonts w:ascii="Arial" w:hAnsi="Arial" w:cs="Arial"/>
          <w:b/>
          <w:bCs/>
          <w:sz w:val="20"/>
          <w:szCs w:val="20"/>
        </w:rPr>
        <w:t>octubre</w:t>
      </w:r>
      <w:r w:rsidRPr="00D14253">
        <w:rPr>
          <w:rFonts w:ascii="Arial" w:hAnsi="Arial" w:cs="Arial"/>
          <w:b/>
          <w:bCs/>
          <w:sz w:val="20"/>
          <w:szCs w:val="20"/>
        </w:rPr>
        <w:t xml:space="preserve"> hasta </w:t>
      </w:r>
      <w:r>
        <w:rPr>
          <w:rFonts w:ascii="Arial" w:hAnsi="Arial" w:cs="Arial"/>
          <w:b/>
          <w:bCs/>
          <w:sz w:val="20"/>
          <w:szCs w:val="20"/>
        </w:rPr>
        <w:t>diciembre</w:t>
      </w:r>
      <w:r w:rsidRPr="00D14253">
        <w:rPr>
          <w:rFonts w:ascii="Arial" w:hAnsi="Arial" w:cs="Arial"/>
          <w:b/>
          <w:bCs/>
          <w:sz w:val="20"/>
          <w:szCs w:val="20"/>
        </w:rPr>
        <w:t xml:space="preserve"> de 2024,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64493B00" w14:textId="77777777" w:rsidR="0036519F" w:rsidRPr="00DC55EB" w:rsidRDefault="0036519F" w:rsidP="0036519F">
      <w:pPr>
        <w:spacing w:before="120" w:line="276"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50BC899" w14:textId="77777777" w:rsidR="00783F06" w:rsidRDefault="00783F06" w:rsidP="0006407D">
      <w:pPr>
        <w:jc w:val="both"/>
        <w:rPr>
          <w:rFonts w:ascii="Arial" w:hAnsi="Arial" w:cs="Arial"/>
          <w:b/>
          <w:bCs/>
          <w:sz w:val="16"/>
          <w:szCs w:val="16"/>
        </w:rPr>
      </w:pP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Pr="005209A4" w:rsidRDefault="008F16C4"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D960A9"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8"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000000"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0036519F"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000000" w:rsidP="00755E42">
            <w:pPr>
              <w:jc w:val="both"/>
              <w:outlineLvl w:val="0"/>
              <w:rPr>
                <w:rFonts w:ascii="Arial" w:hAnsi="Arial" w:cs="Arial"/>
                <w:b/>
                <w:sz w:val="16"/>
                <w:szCs w:val="16"/>
                <w:lang w:val="ca-ES"/>
              </w:rPr>
            </w:pPr>
            <w:hyperlink r:id="rId12" w:history="1">
              <w:r w:rsidR="0036519F"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660934" w:rsidRDefault="0036519F" w:rsidP="00755E42">
            <w:pPr>
              <w:jc w:val="both"/>
              <w:rPr>
                <w:rFonts w:ascii="Arial" w:hAnsi="Arial" w:cs="Arial"/>
                <w:sz w:val="16"/>
                <w:szCs w:val="16"/>
                <w:lang w:val="de-DE"/>
              </w:rPr>
            </w:pPr>
            <w:r w:rsidRPr="00660934">
              <w:rPr>
                <w:rFonts w:ascii="Arial" w:hAnsi="Arial" w:cs="Arial"/>
                <w:sz w:val="16"/>
                <w:szCs w:val="16"/>
                <w:lang w:val="de-DE"/>
              </w:rPr>
              <w:t>Tel. 687 51 96 90</w:t>
            </w:r>
          </w:p>
          <w:p w14:paraId="5F685ECC" w14:textId="77777777" w:rsidR="0036519F" w:rsidRPr="00660934" w:rsidRDefault="00000000" w:rsidP="00755E42">
            <w:pPr>
              <w:jc w:val="both"/>
              <w:rPr>
                <w:rFonts w:ascii="Arial" w:hAnsi="Arial" w:cs="Arial"/>
                <w:sz w:val="16"/>
                <w:szCs w:val="16"/>
                <w:lang w:val="de-DE"/>
              </w:rPr>
            </w:pPr>
            <w:hyperlink r:id="rId13" w:history="1">
              <w:r w:rsidR="0036519F" w:rsidRPr="00660934">
                <w:rPr>
                  <w:rStyle w:val="Hipervnculo"/>
                  <w:rFonts w:ascii="Arial" w:hAnsi="Arial" w:cs="Arial"/>
                  <w:sz w:val="16"/>
                  <w:szCs w:val="16"/>
                  <w:lang w:val="de-DE"/>
                </w:rPr>
                <w:t>juan.gomez@manpowergroup.es</w:t>
              </w:r>
            </w:hyperlink>
          </w:p>
        </w:tc>
      </w:tr>
      <w:bookmarkEnd w:id="8"/>
    </w:tbl>
    <w:p w14:paraId="0F55B214" w14:textId="77777777" w:rsidR="008E54AD" w:rsidRPr="00660934"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660934"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99496" w14:textId="77777777" w:rsidR="00F57B03" w:rsidRDefault="00F57B03">
      <w:r>
        <w:separator/>
      </w:r>
    </w:p>
  </w:endnote>
  <w:endnote w:type="continuationSeparator" w:id="0">
    <w:p w14:paraId="17AD9C98" w14:textId="77777777" w:rsidR="00F57B03" w:rsidRDefault="00F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2F50F" w14:textId="77777777" w:rsidR="00F57B03" w:rsidRDefault="00F57B03">
      <w:r>
        <w:separator/>
      </w:r>
    </w:p>
  </w:footnote>
  <w:footnote w:type="continuationSeparator" w:id="0">
    <w:p w14:paraId="5C80A02C" w14:textId="77777777" w:rsidR="00F57B03" w:rsidRDefault="00F5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3579"/>
    <w:rsid w:val="0006407D"/>
    <w:rsid w:val="00066C14"/>
    <w:rsid w:val="000869A2"/>
    <w:rsid w:val="000906C2"/>
    <w:rsid w:val="00095B8E"/>
    <w:rsid w:val="000A1973"/>
    <w:rsid w:val="000D2B5A"/>
    <w:rsid w:val="000D6BCE"/>
    <w:rsid w:val="000E71B3"/>
    <w:rsid w:val="000F1600"/>
    <w:rsid w:val="0011037D"/>
    <w:rsid w:val="0012170F"/>
    <w:rsid w:val="00122E68"/>
    <w:rsid w:val="00123015"/>
    <w:rsid w:val="00124DEA"/>
    <w:rsid w:val="0012624A"/>
    <w:rsid w:val="001324E2"/>
    <w:rsid w:val="00132B7B"/>
    <w:rsid w:val="00137C4E"/>
    <w:rsid w:val="00142E26"/>
    <w:rsid w:val="00157558"/>
    <w:rsid w:val="0017076E"/>
    <w:rsid w:val="001741E5"/>
    <w:rsid w:val="00176074"/>
    <w:rsid w:val="00181155"/>
    <w:rsid w:val="00183B91"/>
    <w:rsid w:val="0018572B"/>
    <w:rsid w:val="00186814"/>
    <w:rsid w:val="00187D88"/>
    <w:rsid w:val="0019152E"/>
    <w:rsid w:val="00196895"/>
    <w:rsid w:val="001A2A76"/>
    <w:rsid w:val="001B13C9"/>
    <w:rsid w:val="001B18D2"/>
    <w:rsid w:val="001B2737"/>
    <w:rsid w:val="001B39AD"/>
    <w:rsid w:val="002059D2"/>
    <w:rsid w:val="00212129"/>
    <w:rsid w:val="002246BA"/>
    <w:rsid w:val="00226CF7"/>
    <w:rsid w:val="002331A8"/>
    <w:rsid w:val="0024317A"/>
    <w:rsid w:val="00275B27"/>
    <w:rsid w:val="00280DEC"/>
    <w:rsid w:val="002870C7"/>
    <w:rsid w:val="00294475"/>
    <w:rsid w:val="002A1736"/>
    <w:rsid w:val="002A3D92"/>
    <w:rsid w:val="002B3F52"/>
    <w:rsid w:val="002B461A"/>
    <w:rsid w:val="002C02D9"/>
    <w:rsid w:val="002D032D"/>
    <w:rsid w:val="002D69D8"/>
    <w:rsid w:val="002E289B"/>
    <w:rsid w:val="002F04D0"/>
    <w:rsid w:val="003019C9"/>
    <w:rsid w:val="0031261F"/>
    <w:rsid w:val="0032424C"/>
    <w:rsid w:val="00326125"/>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A214F"/>
    <w:rsid w:val="003A2B29"/>
    <w:rsid w:val="003B09CB"/>
    <w:rsid w:val="003C5FF2"/>
    <w:rsid w:val="003D0E85"/>
    <w:rsid w:val="003D4F9E"/>
    <w:rsid w:val="003E08D8"/>
    <w:rsid w:val="003E34D9"/>
    <w:rsid w:val="003E70B2"/>
    <w:rsid w:val="003F40DD"/>
    <w:rsid w:val="00401FD2"/>
    <w:rsid w:val="00407AD8"/>
    <w:rsid w:val="004162DB"/>
    <w:rsid w:val="0044035B"/>
    <w:rsid w:val="00441AA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7688"/>
    <w:rsid w:val="00541A7B"/>
    <w:rsid w:val="00561B53"/>
    <w:rsid w:val="00564AFB"/>
    <w:rsid w:val="0057357A"/>
    <w:rsid w:val="00576DDF"/>
    <w:rsid w:val="00577B92"/>
    <w:rsid w:val="00583013"/>
    <w:rsid w:val="005838B1"/>
    <w:rsid w:val="00584891"/>
    <w:rsid w:val="005906FE"/>
    <w:rsid w:val="005939CD"/>
    <w:rsid w:val="00596187"/>
    <w:rsid w:val="005A44F4"/>
    <w:rsid w:val="005A7DB1"/>
    <w:rsid w:val="005A7E9C"/>
    <w:rsid w:val="005C1E72"/>
    <w:rsid w:val="005C33ED"/>
    <w:rsid w:val="005D17CE"/>
    <w:rsid w:val="005D1AE9"/>
    <w:rsid w:val="005D5DC2"/>
    <w:rsid w:val="005D6FF5"/>
    <w:rsid w:val="005E4173"/>
    <w:rsid w:val="005F0582"/>
    <w:rsid w:val="005F1509"/>
    <w:rsid w:val="005F1CEB"/>
    <w:rsid w:val="00601B68"/>
    <w:rsid w:val="00635FD7"/>
    <w:rsid w:val="00636A81"/>
    <w:rsid w:val="00642CB5"/>
    <w:rsid w:val="0064466A"/>
    <w:rsid w:val="006515B4"/>
    <w:rsid w:val="00652342"/>
    <w:rsid w:val="006536BD"/>
    <w:rsid w:val="00655163"/>
    <w:rsid w:val="00660934"/>
    <w:rsid w:val="00687087"/>
    <w:rsid w:val="00691081"/>
    <w:rsid w:val="00694B11"/>
    <w:rsid w:val="006972C0"/>
    <w:rsid w:val="006A61A8"/>
    <w:rsid w:val="006A7F27"/>
    <w:rsid w:val="006B0824"/>
    <w:rsid w:val="006B2084"/>
    <w:rsid w:val="006B37D4"/>
    <w:rsid w:val="006B6CC7"/>
    <w:rsid w:val="006E5208"/>
    <w:rsid w:val="0070063C"/>
    <w:rsid w:val="00700FE8"/>
    <w:rsid w:val="00720BA0"/>
    <w:rsid w:val="0072269E"/>
    <w:rsid w:val="00731F03"/>
    <w:rsid w:val="00741C49"/>
    <w:rsid w:val="00743A94"/>
    <w:rsid w:val="00783F06"/>
    <w:rsid w:val="00795548"/>
    <w:rsid w:val="007A0082"/>
    <w:rsid w:val="007A74B1"/>
    <w:rsid w:val="007B189E"/>
    <w:rsid w:val="007B59D1"/>
    <w:rsid w:val="007B679F"/>
    <w:rsid w:val="007C5E67"/>
    <w:rsid w:val="007D0CFF"/>
    <w:rsid w:val="007E2DCC"/>
    <w:rsid w:val="00801C70"/>
    <w:rsid w:val="00825CE9"/>
    <w:rsid w:val="00836F8E"/>
    <w:rsid w:val="008405EA"/>
    <w:rsid w:val="00841381"/>
    <w:rsid w:val="00853C2E"/>
    <w:rsid w:val="00857C81"/>
    <w:rsid w:val="008764B5"/>
    <w:rsid w:val="00882FCB"/>
    <w:rsid w:val="00885750"/>
    <w:rsid w:val="00886F0C"/>
    <w:rsid w:val="00890443"/>
    <w:rsid w:val="00891830"/>
    <w:rsid w:val="0089190E"/>
    <w:rsid w:val="008979FE"/>
    <w:rsid w:val="008A4224"/>
    <w:rsid w:val="008B14CC"/>
    <w:rsid w:val="008B155B"/>
    <w:rsid w:val="008B3A52"/>
    <w:rsid w:val="008C0114"/>
    <w:rsid w:val="008C44D3"/>
    <w:rsid w:val="008C5AB0"/>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66C08"/>
    <w:rsid w:val="00970C74"/>
    <w:rsid w:val="0097165A"/>
    <w:rsid w:val="0097553E"/>
    <w:rsid w:val="00977BE7"/>
    <w:rsid w:val="0098143A"/>
    <w:rsid w:val="00981941"/>
    <w:rsid w:val="00982693"/>
    <w:rsid w:val="00991A90"/>
    <w:rsid w:val="009A0E87"/>
    <w:rsid w:val="009A1EB0"/>
    <w:rsid w:val="009A3526"/>
    <w:rsid w:val="009A6F8A"/>
    <w:rsid w:val="009B2C9F"/>
    <w:rsid w:val="009C2675"/>
    <w:rsid w:val="009D2EF1"/>
    <w:rsid w:val="009D3CF7"/>
    <w:rsid w:val="009F01EA"/>
    <w:rsid w:val="009F2A76"/>
    <w:rsid w:val="009F301A"/>
    <w:rsid w:val="009F7DB9"/>
    <w:rsid w:val="009F7E1C"/>
    <w:rsid w:val="00A01277"/>
    <w:rsid w:val="00A02C34"/>
    <w:rsid w:val="00A346D1"/>
    <w:rsid w:val="00A41710"/>
    <w:rsid w:val="00A45200"/>
    <w:rsid w:val="00A50B4D"/>
    <w:rsid w:val="00A52E71"/>
    <w:rsid w:val="00A54B87"/>
    <w:rsid w:val="00A56426"/>
    <w:rsid w:val="00A574BF"/>
    <w:rsid w:val="00A7208B"/>
    <w:rsid w:val="00A75968"/>
    <w:rsid w:val="00A81170"/>
    <w:rsid w:val="00A84DE6"/>
    <w:rsid w:val="00AB24A2"/>
    <w:rsid w:val="00AE0726"/>
    <w:rsid w:val="00AE23F5"/>
    <w:rsid w:val="00AF11D7"/>
    <w:rsid w:val="00AF2C8A"/>
    <w:rsid w:val="00AF735D"/>
    <w:rsid w:val="00B05CD9"/>
    <w:rsid w:val="00B05D48"/>
    <w:rsid w:val="00B116AF"/>
    <w:rsid w:val="00B14FF8"/>
    <w:rsid w:val="00B179B5"/>
    <w:rsid w:val="00B22902"/>
    <w:rsid w:val="00B32DA9"/>
    <w:rsid w:val="00B5158D"/>
    <w:rsid w:val="00B60986"/>
    <w:rsid w:val="00B628EE"/>
    <w:rsid w:val="00B8069B"/>
    <w:rsid w:val="00B87F8E"/>
    <w:rsid w:val="00B963D0"/>
    <w:rsid w:val="00BB1160"/>
    <w:rsid w:val="00BB39D9"/>
    <w:rsid w:val="00BB66B8"/>
    <w:rsid w:val="00BC45B7"/>
    <w:rsid w:val="00BC46BE"/>
    <w:rsid w:val="00BD5663"/>
    <w:rsid w:val="00BE22AA"/>
    <w:rsid w:val="00BF2547"/>
    <w:rsid w:val="00BF2A9C"/>
    <w:rsid w:val="00BF5E11"/>
    <w:rsid w:val="00C02974"/>
    <w:rsid w:val="00C122AC"/>
    <w:rsid w:val="00C536C9"/>
    <w:rsid w:val="00C549B2"/>
    <w:rsid w:val="00C61314"/>
    <w:rsid w:val="00C7314E"/>
    <w:rsid w:val="00C73CB1"/>
    <w:rsid w:val="00C74D41"/>
    <w:rsid w:val="00C83097"/>
    <w:rsid w:val="00C91CCE"/>
    <w:rsid w:val="00C926CF"/>
    <w:rsid w:val="00C97060"/>
    <w:rsid w:val="00CA0905"/>
    <w:rsid w:val="00CA50B7"/>
    <w:rsid w:val="00CB6B70"/>
    <w:rsid w:val="00CC1F87"/>
    <w:rsid w:val="00CF74FF"/>
    <w:rsid w:val="00D02D48"/>
    <w:rsid w:val="00D05483"/>
    <w:rsid w:val="00D13C81"/>
    <w:rsid w:val="00D206CE"/>
    <w:rsid w:val="00D27B5C"/>
    <w:rsid w:val="00D3571D"/>
    <w:rsid w:val="00D62DA8"/>
    <w:rsid w:val="00D63AB2"/>
    <w:rsid w:val="00D64482"/>
    <w:rsid w:val="00D73001"/>
    <w:rsid w:val="00D7641E"/>
    <w:rsid w:val="00D865AD"/>
    <w:rsid w:val="00D90EF8"/>
    <w:rsid w:val="00D92B75"/>
    <w:rsid w:val="00D960A9"/>
    <w:rsid w:val="00DB0F1B"/>
    <w:rsid w:val="00DB45BA"/>
    <w:rsid w:val="00DB5EEF"/>
    <w:rsid w:val="00DC304A"/>
    <w:rsid w:val="00DC6709"/>
    <w:rsid w:val="00DD53A1"/>
    <w:rsid w:val="00DE381F"/>
    <w:rsid w:val="00DE502B"/>
    <w:rsid w:val="00DF4C04"/>
    <w:rsid w:val="00DF6943"/>
    <w:rsid w:val="00E10601"/>
    <w:rsid w:val="00E12E1F"/>
    <w:rsid w:val="00E13BED"/>
    <w:rsid w:val="00E14B59"/>
    <w:rsid w:val="00E269C3"/>
    <w:rsid w:val="00E36DF7"/>
    <w:rsid w:val="00E375F1"/>
    <w:rsid w:val="00E66280"/>
    <w:rsid w:val="00E675C5"/>
    <w:rsid w:val="00E845CF"/>
    <w:rsid w:val="00E91772"/>
    <w:rsid w:val="00EA7C7E"/>
    <w:rsid w:val="00EB283B"/>
    <w:rsid w:val="00ED2842"/>
    <w:rsid w:val="00ED4D55"/>
    <w:rsid w:val="00ED788C"/>
    <w:rsid w:val="00EE2B53"/>
    <w:rsid w:val="00F00E57"/>
    <w:rsid w:val="00F03D39"/>
    <w:rsid w:val="00F0652C"/>
    <w:rsid w:val="00F0730E"/>
    <w:rsid w:val="00F12D89"/>
    <w:rsid w:val="00F12F38"/>
    <w:rsid w:val="00F24D52"/>
    <w:rsid w:val="00F26D2A"/>
    <w:rsid w:val="00F34988"/>
    <w:rsid w:val="00F3670F"/>
    <w:rsid w:val="00F4008A"/>
    <w:rsid w:val="00F45079"/>
    <w:rsid w:val="00F45C5A"/>
    <w:rsid w:val="00F5395E"/>
    <w:rsid w:val="00F5559A"/>
    <w:rsid w:val="00F57B03"/>
    <w:rsid w:val="00F72967"/>
    <w:rsid w:val="00F73A73"/>
    <w:rsid w:val="00F74E6C"/>
    <w:rsid w:val="00F761C4"/>
    <w:rsid w:val="00F87D9D"/>
    <w:rsid w:val="00F93A2E"/>
    <w:rsid w:val="00F95E09"/>
    <w:rsid w:val="00F963D2"/>
    <w:rsid w:val="00FA2A48"/>
    <w:rsid w:val="00FB561C"/>
    <w:rsid w:val="00FB69D7"/>
    <w:rsid w:val="00FC3937"/>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51071819">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4621008">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913</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18</cp:revision>
  <cp:lastPrinted>2022-12-19T17:21:00Z</cp:lastPrinted>
  <dcterms:created xsi:type="dcterms:W3CDTF">2024-03-12T20:35:00Z</dcterms:created>
  <dcterms:modified xsi:type="dcterms:W3CDTF">2024-09-19T10:59:00Z</dcterms:modified>
</cp:coreProperties>
</file>