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18B6" w14:textId="2751FED5" w:rsidR="005D17CE" w:rsidRDefault="00280DEC" w:rsidP="00102DC7">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687087">
        <w:rPr>
          <w:rFonts w:ascii="Arial" w:eastAsia="Arial" w:hAnsi="Arial" w:cs="Arial"/>
          <w:b/>
          <w:color w:val="000000"/>
          <w:sz w:val="20"/>
          <w:szCs w:val="20"/>
          <w:u w:val="single"/>
        </w:rPr>
        <w:t xml:space="preserve">Estudio de Proyección de Empleo de ManpowerGroup para </w:t>
      </w:r>
      <w:r>
        <w:rPr>
          <w:rFonts w:ascii="Arial" w:eastAsia="Arial" w:hAnsi="Arial" w:cs="Arial"/>
          <w:b/>
          <w:color w:val="000000"/>
          <w:sz w:val="20"/>
          <w:szCs w:val="20"/>
          <w:u w:val="single"/>
        </w:rPr>
        <w:t>abril-junio</w:t>
      </w:r>
      <w:r w:rsidRPr="00687087">
        <w:rPr>
          <w:rFonts w:ascii="Arial" w:eastAsia="Arial" w:hAnsi="Arial" w:cs="Arial"/>
          <w:b/>
          <w:color w:val="000000"/>
          <w:sz w:val="20"/>
          <w:szCs w:val="20"/>
          <w:u w:val="single"/>
        </w:rPr>
        <w:t xml:space="preserve"> 202</w:t>
      </w:r>
      <w:r>
        <w:rPr>
          <w:rFonts w:ascii="Arial" w:eastAsia="Arial" w:hAnsi="Arial" w:cs="Arial"/>
          <w:b/>
          <w:color w:val="000000"/>
          <w:sz w:val="20"/>
          <w:szCs w:val="20"/>
          <w:u w:val="single"/>
        </w:rPr>
        <w:t>4</w:t>
      </w:r>
    </w:p>
    <w:p w14:paraId="6F080427" w14:textId="77777777" w:rsidR="00D20504" w:rsidRDefault="00D20504" w:rsidP="00102DC7">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C6ED9C1" w14:textId="236EE9BE" w:rsidR="00706150" w:rsidRPr="00584891" w:rsidRDefault="00706150" w:rsidP="00706150">
      <w:pPr>
        <w:pStyle w:val="Prrafodelista"/>
        <w:spacing w:before="120" w:line="288" w:lineRule="auto"/>
        <w:ind w:left="0" w:right="-1"/>
        <w:contextualSpacing w:val="0"/>
        <w:jc w:val="center"/>
        <w:rPr>
          <w:rFonts w:ascii="Arial" w:eastAsia="Arial" w:hAnsi="Arial" w:cs="Arial"/>
          <w:u w:val="single"/>
        </w:rPr>
      </w:pPr>
      <w:bookmarkStart w:id="2" w:name="_Hlk113557077"/>
      <w:r>
        <w:rPr>
          <w:rFonts w:ascii="Arial" w:eastAsia="Arial" w:hAnsi="Arial" w:cs="Arial"/>
          <w:b/>
          <w:bCs/>
          <w:sz w:val="36"/>
          <w:szCs w:val="36"/>
        </w:rPr>
        <w:t>El sector energético</w:t>
      </w:r>
      <w:r w:rsidRPr="00584891">
        <w:rPr>
          <w:rFonts w:ascii="Arial" w:eastAsia="Arial" w:hAnsi="Arial" w:cs="Arial"/>
          <w:b/>
          <w:bCs/>
          <w:sz w:val="36"/>
          <w:szCs w:val="36"/>
        </w:rPr>
        <w:t>, entre l</w:t>
      </w:r>
      <w:r>
        <w:rPr>
          <w:rFonts w:ascii="Arial" w:eastAsia="Arial" w:hAnsi="Arial" w:cs="Arial"/>
          <w:b/>
          <w:bCs/>
          <w:sz w:val="36"/>
          <w:szCs w:val="36"/>
        </w:rPr>
        <w:t>o</w:t>
      </w:r>
      <w:r w:rsidRPr="00584891">
        <w:rPr>
          <w:rFonts w:ascii="Arial" w:eastAsia="Arial" w:hAnsi="Arial" w:cs="Arial"/>
          <w:b/>
          <w:bCs/>
          <w:sz w:val="36"/>
          <w:szCs w:val="36"/>
        </w:rPr>
        <w:t>s más optimistas en sus expectativas de generación de empleo para el segundo trimestre</w:t>
      </w:r>
    </w:p>
    <w:p w14:paraId="4E31EDA4" w14:textId="77777777" w:rsidR="00D20504" w:rsidRPr="00D20504" w:rsidRDefault="00D20504" w:rsidP="00102DC7">
      <w:pPr>
        <w:spacing w:before="120" w:line="288" w:lineRule="auto"/>
        <w:jc w:val="both"/>
        <w:rPr>
          <w:rFonts w:ascii="Arial" w:eastAsia="Arial" w:hAnsi="Arial" w:cs="Arial"/>
          <w:b/>
          <w:sz w:val="23"/>
          <w:szCs w:val="23"/>
        </w:rPr>
      </w:pPr>
    </w:p>
    <w:p w14:paraId="173E4D8E" w14:textId="1765CE90" w:rsidR="003E34D9" w:rsidRDefault="00102DC7" w:rsidP="00102DC7">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w:t>
      </w:r>
      <w:r w:rsidR="00254285">
        <w:rPr>
          <w:rFonts w:ascii="Arial" w:eastAsia="Arial" w:hAnsi="Arial" w:cs="Arial"/>
          <w:b/>
          <w:sz w:val="23"/>
          <w:szCs w:val="23"/>
        </w:rPr>
        <w:t xml:space="preserve">as empresas </w:t>
      </w:r>
      <w:r>
        <w:rPr>
          <w:rFonts w:ascii="Arial" w:eastAsia="Arial" w:hAnsi="Arial" w:cs="Arial"/>
          <w:b/>
          <w:sz w:val="23"/>
          <w:szCs w:val="23"/>
        </w:rPr>
        <w:t xml:space="preserve">de </w:t>
      </w:r>
      <w:r w:rsidR="00254285">
        <w:rPr>
          <w:rFonts w:ascii="Arial" w:eastAsia="Arial" w:hAnsi="Arial" w:cs="Arial"/>
          <w:b/>
          <w:sz w:val="23"/>
          <w:szCs w:val="23"/>
        </w:rPr>
        <w:t xml:space="preserve">Energía </w:t>
      </w:r>
      <w:r>
        <w:rPr>
          <w:rFonts w:ascii="Arial" w:eastAsia="Arial" w:hAnsi="Arial" w:cs="Arial"/>
          <w:b/>
          <w:sz w:val="23"/>
          <w:szCs w:val="23"/>
        </w:rPr>
        <w:t>y suministros</w:t>
      </w:r>
      <w:r w:rsidR="00706150">
        <w:rPr>
          <w:rFonts w:ascii="Arial" w:eastAsia="Arial" w:hAnsi="Arial" w:cs="Arial"/>
          <w:b/>
          <w:sz w:val="23"/>
          <w:szCs w:val="23"/>
        </w:rPr>
        <w:t>, con unas estimaciones netas del 20%,</w:t>
      </w:r>
      <w:r>
        <w:rPr>
          <w:rFonts w:ascii="Arial" w:eastAsia="Arial" w:hAnsi="Arial" w:cs="Arial"/>
          <w:b/>
          <w:sz w:val="23"/>
          <w:szCs w:val="23"/>
        </w:rPr>
        <w:t xml:space="preserve"> están </w:t>
      </w:r>
      <w:r w:rsidR="00254285">
        <w:rPr>
          <w:rFonts w:ascii="Arial" w:eastAsia="Arial" w:hAnsi="Arial" w:cs="Arial"/>
          <w:b/>
          <w:sz w:val="23"/>
          <w:szCs w:val="23"/>
        </w:rPr>
        <w:t xml:space="preserve">en el </w:t>
      </w:r>
      <w:r w:rsidR="00121B5C">
        <w:rPr>
          <w:rFonts w:ascii="Arial" w:eastAsia="Arial" w:hAnsi="Arial" w:cs="Arial"/>
          <w:b/>
          <w:sz w:val="23"/>
          <w:szCs w:val="23"/>
        </w:rPr>
        <w:t xml:space="preserve">pódium </w:t>
      </w:r>
      <w:r w:rsidR="00254285">
        <w:rPr>
          <w:rFonts w:ascii="Arial" w:eastAsia="Arial" w:hAnsi="Arial" w:cs="Arial"/>
          <w:b/>
          <w:sz w:val="23"/>
          <w:szCs w:val="23"/>
        </w:rPr>
        <w:t>en sus estimaciones de contratación,</w:t>
      </w:r>
      <w:r w:rsidR="003E34D9">
        <w:rPr>
          <w:rFonts w:ascii="Arial" w:eastAsia="Arial" w:hAnsi="Arial" w:cs="Arial"/>
          <w:b/>
          <w:sz w:val="23"/>
          <w:szCs w:val="23"/>
        </w:rPr>
        <w:t xml:space="preserve"> </w:t>
      </w:r>
      <w:r>
        <w:rPr>
          <w:rFonts w:ascii="Arial" w:eastAsia="Arial" w:hAnsi="Arial" w:cs="Arial"/>
          <w:b/>
          <w:sz w:val="23"/>
          <w:szCs w:val="23"/>
        </w:rPr>
        <w:t xml:space="preserve">tras </w:t>
      </w:r>
      <w:r w:rsidR="003E34D9">
        <w:rPr>
          <w:rFonts w:ascii="Arial" w:eastAsia="Arial" w:hAnsi="Arial" w:cs="Arial"/>
          <w:b/>
          <w:sz w:val="23"/>
          <w:szCs w:val="23"/>
        </w:rPr>
        <w:t>un crecimiento intertrimestral</w:t>
      </w:r>
      <w:r>
        <w:rPr>
          <w:rFonts w:ascii="Arial" w:eastAsia="Arial" w:hAnsi="Arial" w:cs="Arial"/>
          <w:b/>
          <w:sz w:val="23"/>
          <w:szCs w:val="23"/>
        </w:rPr>
        <w:t xml:space="preserve"> de 2 puntos</w:t>
      </w:r>
      <w:r w:rsidR="00254285">
        <w:rPr>
          <w:rFonts w:ascii="Arial" w:eastAsia="Arial" w:hAnsi="Arial" w:cs="Arial"/>
          <w:b/>
          <w:sz w:val="23"/>
          <w:szCs w:val="23"/>
        </w:rPr>
        <w:t>.</w:t>
      </w:r>
    </w:p>
    <w:p w14:paraId="33449D4C" w14:textId="12CAF7A4" w:rsidR="003E34D9" w:rsidRDefault="00102DC7" w:rsidP="00102DC7">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Solo l</w:t>
      </w:r>
      <w:r w:rsidR="00254285">
        <w:rPr>
          <w:rFonts w:ascii="Arial" w:eastAsia="Arial" w:hAnsi="Arial" w:cs="Arial"/>
          <w:b/>
          <w:sz w:val="23"/>
          <w:szCs w:val="23"/>
        </w:rPr>
        <w:t>as compañías de</w:t>
      </w:r>
      <w:r w:rsidR="003E34D9">
        <w:rPr>
          <w:rFonts w:ascii="Arial" w:eastAsia="Arial" w:hAnsi="Arial" w:cs="Arial"/>
          <w:b/>
          <w:sz w:val="23"/>
          <w:szCs w:val="23"/>
        </w:rPr>
        <w:t xml:space="preserve"> Tecnología</w:t>
      </w:r>
      <w:r w:rsidR="00254285">
        <w:rPr>
          <w:rFonts w:ascii="Arial" w:eastAsia="Arial" w:hAnsi="Arial" w:cs="Arial"/>
          <w:b/>
          <w:sz w:val="23"/>
          <w:szCs w:val="23"/>
        </w:rPr>
        <w:t xml:space="preserve"> (34%) y </w:t>
      </w:r>
      <w:r w:rsidR="00121B5C">
        <w:rPr>
          <w:rFonts w:ascii="Arial" w:eastAsia="Arial" w:hAnsi="Arial" w:cs="Arial"/>
          <w:b/>
          <w:sz w:val="23"/>
          <w:szCs w:val="23"/>
        </w:rPr>
        <w:t xml:space="preserve">de </w:t>
      </w:r>
      <w:r w:rsidR="00254285">
        <w:rPr>
          <w:rFonts w:ascii="Arial" w:eastAsia="Arial" w:hAnsi="Arial" w:cs="Arial"/>
          <w:b/>
          <w:sz w:val="23"/>
          <w:szCs w:val="23"/>
        </w:rPr>
        <w:t>Finan</w:t>
      </w:r>
      <w:r w:rsidR="00121B5C">
        <w:rPr>
          <w:rFonts w:ascii="Arial" w:eastAsia="Arial" w:hAnsi="Arial" w:cs="Arial"/>
          <w:b/>
          <w:sz w:val="23"/>
          <w:szCs w:val="23"/>
        </w:rPr>
        <w:t>zas</w:t>
      </w:r>
      <w:r w:rsidR="00254285">
        <w:rPr>
          <w:rFonts w:ascii="Arial" w:eastAsia="Arial" w:hAnsi="Arial" w:cs="Arial"/>
          <w:b/>
          <w:sz w:val="23"/>
          <w:szCs w:val="23"/>
        </w:rPr>
        <w:t xml:space="preserve"> e </w:t>
      </w:r>
      <w:r w:rsidR="00121B5C">
        <w:rPr>
          <w:rFonts w:ascii="Arial" w:eastAsia="Arial" w:hAnsi="Arial" w:cs="Arial"/>
          <w:b/>
          <w:sz w:val="23"/>
          <w:szCs w:val="23"/>
        </w:rPr>
        <w:t>i</w:t>
      </w:r>
      <w:r w:rsidR="00254285">
        <w:rPr>
          <w:rFonts w:ascii="Arial" w:eastAsia="Arial" w:hAnsi="Arial" w:cs="Arial"/>
          <w:b/>
          <w:sz w:val="23"/>
          <w:szCs w:val="23"/>
        </w:rPr>
        <w:t>nmobiliario (24%)</w:t>
      </w:r>
      <w:r w:rsidR="003E34D9">
        <w:rPr>
          <w:rFonts w:ascii="Arial" w:eastAsia="Arial" w:hAnsi="Arial" w:cs="Arial"/>
          <w:b/>
          <w:sz w:val="23"/>
          <w:szCs w:val="23"/>
        </w:rPr>
        <w:t xml:space="preserve"> </w:t>
      </w:r>
      <w:r w:rsidR="00121B5C">
        <w:rPr>
          <w:rFonts w:ascii="Arial" w:eastAsia="Arial" w:hAnsi="Arial" w:cs="Arial"/>
          <w:b/>
          <w:sz w:val="23"/>
          <w:szCs w:val="23"/>
        </w:rPr>
        <w:t xml:space="preserve">tienen </w:t>
      </w:r>
      <w:r>
        <w:rPr>
          <w:rFonts w:ascii="Arial" w:eastAsia="Arial" w:hAnsi="Arial" w:cs="Arial"/>
          <w:b/>
          <w:sz w:val="23"/>
          <w:szCs w:val="23"/>
        </w:rPr>
        <w:t>mejor</w:t>
      </w:r>
      <w:r w:rsidR="00121B5C">
        <w:rPr>
          <w:rFonts w:ascii="Arial" w:eastAsia="Arial" w:hAnsi="Arial" w:cs="Arial"/>
          <w:b/>
          <w:sz w:val="23"/>
          <w:szCs w:val="23"/>
        </w:rPr>
        <w:t>es</w:t>
      </w:r>
      <w:r>
        <w:rPr>
          <w:rFonts w:ascii="Arial" w:eastAsia="Arial" w:hAnsi="Arial" w:cs="Arial"/>
          <w:b/>
          <w:sz w:val="23"/>
          <w:szCs w:val="23"/>
        </w:rPr>
        <w:t xml:space="preserve"> </w:t>
      </w:r>
      <w:r w:rsidR="003E34D9">
        <w:rPr>
          <w:rFonts w:ascii="Arial" w:eastAsia="Arial" w:hAnsi="Arial" w:cs="Arial"/>
          <w:b/>
          <w:sz w:val="23"/>
          <w:szCs w:val="23"/>
        </w:rPr>
        <w:t>expectativas</w:t>
      </w:r>
      <w:r>
        <w:rPr>
          <w:rFonts w:ascii="Arial" w:eastAsia="Arial" w:hAnsi="Arial" w:cs="Arial"/>
          <w:b/>
          <w:sz w:val="23"/>
          <w:szCs w:val="23"/>
        </w:rPr>
        <w:t xml:space="preserve"> para el periodo abril-junio</w:t>
      </w:r>
      <w:r w:rsidR="003E34D9" w:rsidRPr="00D64BE9">
        <w:rPr>
          <w:rFonts w:ascii="Arial" w:eastAsia="Arial" w:hAnsi="Arial" w:cs="Arial"/>
          <w:b/>
          <w:sz w:val="23"/>
          <w:szCs w:val="23"/>
        </w:rPr>
        <w:t>.</w:t>
      </w:r>
    </w:p>
    <w:p w14:paraId="6A206E65" w14:textId="072742CC" w:rsidR="00121B5C" w:rsidRPr="00D64BE9" w:rsidRDefault="00121B5C" w:rsidP="00102DC7">
      <w:pPr>
        <w:pStyle w:val="Prrafodelista"/>
        <w:numPr>
          <w:ilvl w:val="0"/>
          <w:numId w:val="7"/>
        </w:numPr>
        <w:spacing w:before="120" w:line="288" w:lineRule="auto"/>
        <w:contextualSpacing w:val="0"/>
        <w:jc w:val="both"/>
        <w:rPr>
          <w:rFonts w:ascii="Arial" w:eastAsia="Arial" w:hAnsi="Arial" w:cs="Arial"/>
          <w:b/>
          <w:sz w:val="23"/>
          <w:szCs w:val="23"/>
        </w:rPr>
      </w:pPr>
      <w:bookmarkStart w:id="3" w:name="_Hlk161245642"/>
      <w:r>
        <w:rPr>
          <w:rFonts w:ascii="Arial" w:eastAsia="Arial" w:hAnsi="Arial" w:cs="Arial"/>
          <w:b/>
          <w:sz w:val="23"/>
          <w:szCs w:val="23"/>
        </w:rPr>
        <w:t xml:space="preserve">El sector energético español se sitúa por encima de la media nacional (14%) y </w:t>
      </w:r>
      <w:r w:rsidR="004C5A7E">
        <w:rPr>
          <w:rFonts w:ascii="Arial" w:eastAsia="Arial" w:hAnsi="Arial" w:cs="Arial"/>
          <w:b/>
          <w:sz w:val="23"/>
          <w:szCs w:val="23"/>
        </w:rPr>
        <w:t xml:space="preserve">supera también </w:t>
      </w:r>
      <w:r>
        <w:rPr>
          <w:rFonts w:ascii="Arial" w:eastAsia="Arial" w:hAnsi="Arial" w:cs="Arial"/>
          <w:b/>
          <w:sz w:val="23"/>
          <w:szCs w:val="23"/>
        </w:rPr>
        <w:t>la media global para la industria de la Energía (18%).</w:t>
      </w:r>
    </w:p>
    <w:bookmarkEnd w:id="3"/>
    <w:p w14:paraId="3C62EE3F" w14:textId="77777777" w:rsidR="005D17CE" w:rsidRPr="00B14FF8" w:rsidRDefault="005D17CE" w:rsidP="00102DC7">
      <w:pPr>
        <w:spacing w:before="120" w:line="288" w:lineRule="auto"/>
        <w:rPr>
          <w:rFonts w:ascii="Arial" w:eastAsia="Arial" w:hAnsi="Arial" w:cs="Arial"/>
          <w:b/>
          <w:sz w:val="22"/>
          <w:szCs w:val="22"/>
        </w:rPr>
      </w:pPr>
    </w:p>
    <w:bookmarkEnd w:id="2"/>
    <w:p w14:paraId="3295343D" w14:textId="77777777" w:rsidR="00381BFE" w:rsidRDefault="00196895" w:rsidP="00102DC7">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Pr>
          <w:rFonts w:ascii="Arial" w:eastAsia="Arial" w:hAnsi="Arial" w:cs="Arial"/>
          <w:b/>
          <w:sz w:val="22"/>
          <w:szCs w:val="22"/>
        </w:rPr>
        <w:t xml:space="preserve">19 </w:t>
      </w:r>
      <w:r w:rsidRPr="00204E64">
        <w:rPr>
          <w:rFonts w:ascii="Arial" w:eastAsia="Arial" w:hAnsi="Arial" w:cs="Arial"/>
          <w:b/>
          <w:sz w:val="22"/>
          <w:szCs w:val="22"/>
        </w:rPr>
        <w:t xml:space="preserve">de </w:t>
      </w:r>
      <w:r>
        <w:rPr>
          <w:rFonts w:ascii="Arial" w:eastAsia="Arial" w:hAnsi="Arial" w:cs="Arial"/>
          <w:b/>
          <w:sz w:val="22"/>
          <w:szCs w:val="22"/>
        </w:rPr>
        <w:t>marzo de 2024</w:t>
      </w:r>
      <w:r w:rsidRPr="00204E64">
        <w:rPr>
          <w:rFonts w:ascii="Arial" w:eastAsia="Arial" w:hAnsi="Arial" w:cs="Arial"/>
          <w:b/>
          <w:sz w:val="22"/>
          <w:szCs w:val="22"/>
        </w:rPr>
        <w:t>.-</w:t>
      </w:r>
      <w:bookmarkStart w:id="4" w:name="_Hlk113557102"/>
      <w:r w:rsidRPr="00204E64">
        <w:rPr>
          <w:rFonts w:ascii="Arial" w:eastAsia="Arial" w:hAnsi="Arial" w:cs="Arial"/>
          <w:b/>
          <w:sz w:val="22"/>
          <w:szCs w:val="22"/>
        </w:rPr>
        <w:t xml:space="preserve"> </w:t>
      </w:r>
      <w:bookmarkStart w:id="5" w:name="_Hlk137140302"/>
      <w:r w:rsidR="003E34D9">
        <w:rPr>
          <w:rFonts w:ascii="Arial" w:eastAsia="Arial" w:hAnsi="Arial" w:cs="Arial"/>
          <w:bCs/>
          <w:sz w:val="22"/>
          <w:szCs w:val="22"/>
        </w:rPr>
        <w:t xml:space="preserve">Según el último </w:t>
      </w:r>
      <w:r w:rsidR="003E34D9" w:rsidRPr="00DC24F1">
        <w:rPr>
          <w:rFonts w:ascii="Arial" w:eastAsia="Arial" w:hAnsi="Arial" w:cs="Arial"/>
          <w:b/>
          <w:sz w:val="22"/>
          <w:szCs w:val="22"/>
        </w:rPr>
        <w:t>Estudio de Proyección de Empleo de ManpowerGroup</w:t>
      </w:r>
      <w:r w:rsidR="003E34D9">
        <w:rPr>
          <w:rFonts w:ascii="Arial" w:eastAsia="Arial" w:hAnsi="Arial" w:cs="Arial"/>
          <w:bCs/>
          <w:sz w:val="22"/>
          <w:szCs w:val="22"/>
        </w:rPr>
        <w:t xml:space="preserve">, las empresas del sector </w:t>
      </w:r>
      <w:r w:rsidR="0016677F">
        <w:rPr>
          <w:rFonts w:ascii="Arial" w:eastAsia="Arial" w:hAnsi="Arial" w:cs="Arial"/>
          <w:bCs/>
          <w:sz w:val="22"/>
          <w:szCs w:val="22"/>
        </w:rPr>
        <w:t>energético</w:t>
      </w:r>
      <w:r w:rsidR="003E34D9" w:rsidRPr="00FD0BB7">
        <w:rPr>
          <w:rFonts w:ascii="Arial" w:eastAsia="Arial" w:hAnsi="Arial" w:cs="Arial"/>
          <w:bCs/>
          <w:sz w:val="22"/>
          <w:szCs w:val="22"/>
        </w:rPr>
        <w:t xml:space="preserve"> </w:t>
      </w:r>
      <w:r w:rsidR="003E34D9">
        <w:rPr>
          <w:rFonts w:ascii="Arial" w:eastAsia="Arial" w:hAnsi="Arial" w:cs="Arial"/>
          <w:bCs/>
          <w:sz w:val="22"/>
          <w:szCs w:val="22"/>
        </w:rPr>
        <w:t>registran unas previsiones netas de contratación del 2</w:t>
      </w:r>
      <w:r w:rsidR="0016677F">
        <w:rPr>
          <w:rFonts w:ascii="Arial" w:eastAsia="Arial" w:hAnsi="Arial" w:cs="Arial"/>
          <w:bCs/>
          <w:sz w:val="22"/>
          <w:szCs w:val="22"/>
        </w:rPr>
        <w:t>0</w:t>
      </w:r>
      <w:r w:rsidR="003E34D9">
        <w:rPr>
          <w:rFonts w:ascii="Arial" w:eastAsia="Arial" w:hAnsi="Arial" w:cs="Arial"/>
          <w:bCs/>
          <w:sz w:val="22"/>
          <w:szCs w:val="22"/>
        </w:rPr>
        <w:t xml:space="preserve">%. </w:t>
      </w:r>
      <w:r w:rsidR="0016677F">
        <w:rPr>
          <w:rFonts w:ascii="Arial" w:eastAsia="Arial" w:hAnsi="Arial" w:cs="Arial"/>
          <w:bCs/>
          <w:sz w:val="22"/>
          <w:szCs w:val="22"/>
        </w:rPr>
        <w:t xml:space="preserve">6 puntos por encima de la media </w:t>
      </w:r>
      <w:r w:rsidR="003E34D9">
        <w:rPr>
          <w:rFonts w:ascii="Arial" w:eastAsia="Arial" w:hAnsi="Arial" w:cs="Arial"/>
          <w:bCs/>
          <w:sz w:val="22"/>
          <w:szCs w:val="22"/>
        </w:rPr>
        <w:t>a nivel nacional (14%)</w:t>
      </w:r>
      <w:r w:rsidR="00381BFE">
        <w:rPr>
          <w:rFonts w:ascii="Arial" w:eastAsia="Arial" w:hAnsi="Arial" w:cs="Arial"/>
          <w:bCs/>
          <w:sz w:val="22"/>
          <w:szCs w:val="22"/>
        </w:rPr>
        <w:t xml:space="preserve">, esta cifra </w:t>
      </w:r>
      <w:r w:rsidR="003E34D9">
        <w:rPr>
          <w:rFonts w:ascii="Arial" w:eastAsia="Arial" w:hAnsi="Arial" w:cs="Arial"/>
          <w:bCs/>
          <w:sz w:val="22"/>
          <w:szCs w:val="22"/>
        </w:rPr>
        <w:t xml:space="preserve">supone un aumento de </w:t>
      </w:r>
      <w:r w:rsidR="0016677F">
        <w:rPr>
          <w:rFonts w:ascii="Arial" w:eastAsia="Arial" w:hAnsi="Arial" w:cs="Arial"/>
          <w:bCs/>
          <w:sz w:val="22"/>
          <w:szCs w:val="22"/>
        </w:rPr>
        <w:t>2 puntos en comparación con los tres meses anteriores</w:t>
      </w:r>
      <w:r w:rsidR="00381BFE">
        <w:rPr>
          <w:rFonts w:ascii="Arial" w:eastAsia="Arial" w:hAnsi="Arial" w:cs="Arial"/>
          <w:bCs/>
          <w:sz w:val="22"/>
          <w:szCs w:val="22"/>
        </w:rPr>
        <w:t xml:space="preserve"> e igual el dato de</w:t>
      </w:r>
      <w:r w:rsidR="003E34D9">
        <w:rPr>
          <w:rFonts w:ascii="Arial" w:eastAsia="Arial" w:hAnsi="Arial" w:cs="Arial"/>
          <w:bCs/>
          <w:sz w:val="22"/>
          <w:szCs w:val="22"/>
        </w:rPr>
        <w:t xml:space="preserve">l mismo periodo de 2023. </w:t>
      </w:r>
    </w:p>
    <w:p w14:paraId="2072E7D8" w14:textId="3CF9B27A" w:rsidR="003E34D9" w:rsidRDefault="00381BFE" w:rsidP="00102DC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w:t>
      </w:r>
      <w:r w:rsidR="003E34D9">
        <w:rPr>
          <w:rFonts w:ascii="Arial" w:eastAsia="Arial" w:hAnsi="Arial" w:cs="Arial"/>
          <w:bCs/>
          <w:sz w:val="22"/>
          <w:szCs w:val="22"/>
        </w:rPr>
        <w:t xml:space="preserve">los meses de abril y junio, un </w:t>
      </w:r>
      <w:r w:rsidR="0016677F">
        <w:rPr>
          <w:rFonts w:ascii="Arial" w:eastAsia="Arial" w:hAnsi="Arial" w:cs="Arial"/>
          <w:bCs/>
          <w:sz w:val="22"/>
          <w:szCs w:val="22"/>
        </w:rPr>
        <w:t>42</w:t>
      </w:r>
      <w:r w:rsidR="003E34D9">
        <w:rPr>
          <w:rFonts w:ascii="Arial" w:eastAsia="Arial" w:hAnsi="Arial" w:cs="Arial"/>
          <w:bCs/>
          <w:sz w:val="22"/>
          <w:szCs w:val="22"/>
        </w:rPr>
        <w:t xml:space="preserve">% de las compañías </w:t>
      </w:r>
      <w:r>
        <w:rPr>
          <w:rFonts w:ascii="Arial" w:eastAsia="Arial" w:hAnsi="Arial" w:cs="Arial"/>
          <w:bCs/>
          <w:sz w:val="22"/>
          <w:szCs w:val="22"/>
        </w:rPr>
        <w:t xml:space="preserve">energéticas </w:t>
      </w:r>
      <w:r w:rsidR="003E34D9">
        <w:rPr>
          <w:rFonts w:ascii="Arial" w:eastAsia="Arial" w:hAnsi="Arial" w:cs="Arial"/>
          <w:bCs/>
          <w:sz w:val="22"/>
          <w:szCs w:val="22"/>
        </w:rPr>
        <w:t xml:space="preserve">tienen la intención de ampliar sus plantillas, mientras que el </w:t>
      </w:r>
      <w:r w:rsidR="0016677F">
        <w:rPr>
          <w:rFonts w:ascii="Arial" w:eastAsia="Arial" w:hAnsi="Arial" w:cs="Arial"/>
          <w:bCs/>
          <w:sz w:val="22"/>
          <w:szCs w:val="22"/>
        </w:rPr>
        <w:t>35</w:t>
      </w:r>
      <w:r w:rsidR="003E34D9">
        <w:rPr>
          <w:rFonts w:ascii="Arial" w:eastAsia="Arial" w:hAnsi="Arial" w:cs="Arial"/>
          <w:bCs/>
          <w:sz w:val="22"/>
          <w:szCs w:val="22"/>
        </w:rPr>
        <w:t xml:space="preserve">% planea mantenerlas sin cambios y </w:t>
      </w:r>
      <w:r w:rsidR="0016677F">
        <w:rPr>
          <w:rFonts w:ascii="Arial" w:eastAsia="Arial" w:hAnsi="Arial" w:cs="Arial"/>
          <w:bCs/>
          <w:sz w:val="22"/>
          <w:szCs w:val="22"/>
        </w:rPr>
        <w:t>el 22</w:t>
      </w:r>
      <w:r w:rsidR="003E34D9">
        <w:rPr>
          <w:rFonts w:ascii="Arial" w:eastAsia="Arial" w:hAnsi="Arial" w:cs="Arial"/>
          <w:bCs/>
          <w:sz w:val="22"/>
          <w:szCs w:val="22"/>
        </w:rPr>
        <w:t>% estima que las reducirá.</w:t>
      </w:r>
    </w:p>
    <w:p w14:paraId="767280FE" w14:textId="3370DA55" w:rsidR="0007736A" w:rsidRDefault="0016677F" w:rsidP="00102DC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este sentido, </w:t>
      </w:r>
      <w:r>
        <w:rPr>
          <w:rFonts w:ascii="Arial" w:eastAsia="Arial" w:hAnsi="Arial" w:cs="Arial"/>
          <w:b/>
          <w:sz w:val="22"/>
          <w:szCs w:val="22"/>
        </w:rPr>
        <w:t>Óscar Lupión, director corporativo de Energía en ManpowerGroup</w:t>
      </w:r>
      <w:r>
        <w:rPr>
          <w:rFonts w:ascii="Arial" w:eastAsia="Arial" w:hAnsi="Arial" w:cs="Arial"/>
          <w:bCs/>
          <w:sz w:val="22"/>
          <w:szCs w:val="22"/>
        </w:rPr>
        <w:t>, afirma que “</w:t>
      </w:r>
      <w:r w:rsidR="00102DC7">
        <w:rPr>
          <w:rFonts w:ascii="Arial" w:eastAsia="Arial" w:hAnsi="Arial" w:cs="Arial"/>
          <w:bCs/>
          <w:i/>
          <w:iCs/>
          <w:sz w:val="22"/>
          <w:szCs w:val="22"/>
        </w:rPr>
        <w:t>l</w:t>
      </w:r>
      <w:r w:rsidR="0007736A" w:rsidRPr="0007736A">
        <w:rPr>
          <w:rFonts w:ascii="Arial" w:eastAsia="Arial" w:hAnsi="Arial" w:cs="Arial"/>
          <w:bCs/>
          <w:i/>
          <w:iCs/>
          <w:sz w:val="22"/>
          <w:szCs w:val="22"/>
        </w:rPr>
        <w:t xml:space="preserve">a </w:t>
      </w:r>
      <w:r w:rsidR="00102DC7">
        <w:rPr>
          <w:rFonts w:ascii="Arial" w:eastAsia="Arial" w:hAnsi="Arial" w:cs="Arial"/>
          <w:bCs/>
          <w:i/>
          <w:iCs/>
          <w:sz w:val="22"/>
          <w:szCs w:val="22"/>
        </w:rPr>
        <w:t xml:space="preserve">transición verde va ganando fuerza y muchas empresas del sector están en pleno proceso de transformación para dar respuesta a </w:t>
      </w:r>
      <w:r w:rsidR="0007736A" w:rsidRPr="0007736A">
        <w:rPr>
          <w:rFonts w:ascii="Arial" w:eastAsia="Arial" w:hAnsi="Arial" w:cs="Arial"/>
          <w:bCs/>
          <w:i/>
          <w:iCs/>
          <w:sz w:val="22"/>
          <w:szCs w:val="22"/>
        </w:rPr>
        <w:t xml:space="preserve">la demanda de energías renovables. </w:t>
      </w:r>
      <w:r w:rsidR="00102DC7">
        <w:rPr>
          <w:rFonts w:ascii="Arial" w:eastAsia="Arial" w:hAnsi="Arial" w:cs="Arial"/>
          <w:bCs/>
          <w:i/>
          <w:iCs/>
          <w:sz w:val="22"/>
          <w:szCs w:val="22"/>
        </w:rPr>
        <w:t>Es</w:t>
      </w:r>
      <w:r w:rsidR="000E13C2">
        <w:rPr>
          <w:rFonts w:ascii="Arial" w:eastAsia="Arial" w:hAnsi="Arial" w:cs="Arial"/>
          <w:bCs/>
          <w:i/>
          <w:iCs/>
          <w:sz w:val="22"/>
          <w:szCs w:val="22"/>
        </w:rPr>
        <w:t>t</w:t>
      </w:r>
      <w:r w:rsidR="00102DC7">
        <w:rPr>
          <w:rFonts w:ascii="Arial" w:eastAsia="Arial" w:hAnsi="Arial" w:cs="Arial"/>
          <w:bCs/>
          <w:i/>
          <w:iCs/>
          <w:sz w:val="22"/>
          <w:szCs w:val="22"/>
        </w:rPr>
        <w:t>e proceso requiere de profesionales que lo hagan posible. Por eso</w:t>
      </w:r>
      <w:r w:rsidR="000E13C2">
        <w:rPr>
          <w:rFonts w:ascii="Arial" w:eastAsia="Arial" w:hAnsi="Arial" w:cs="Arial"/>
          <w:bCs/>
          <w:i/>
          <w:iCs/>
          <w:sz w:val="22"/>
          <w:szCs w:val="22"/>
        </w:rPr>
        <w:t xml:space="preserve">, a lo largo de los últimos trimestres, las empresas vienen mostrando datos muy positivos en sus </w:t>
      </w:r>
      <w:r w:rsidR="00102DC7">
        <w:rPr>
          <w:rFonts w:ascii="Arial" w:eastAsia="Arial" w:hAnsi="Arial" w:cs="Arial"/>
          <w:bCs/>
          <w:i/>
          <w:iCs/>
          <w:sz w:val="22"/>
          <w:szCs w:val="22"/>
        </w:rPr>
        <w:t>intenci</w:t>
      </w:r>
      <w:r w:rsidR="000E13C2">
        <w:rPr>
          <w:rFonts w:ascii="Arial" w:eastAsia="Arial" w:hAnsi="Arial" w:cs="Arial"/>
          <w:bCs/>
          <w:i/>
          <w:iCs/>
          <w:sz w:val="22"/>
          <w:szCs w:val="22"/>
        </w:rPr>
        <w:t>ones</w:t>
      </w:r>
      <w:r w:rsidR="00102DC7">
        <w:rPr>
          <w:rFonts w:ascii="Arial" w:eastAsia="Arial" w:hAnsi="Arial" w:cs="Arial"/>
          <w:bCs/>
          <w:i/>
          <w:iCs/>
          <w:sz w:val="22"/>
          <w:szCs w:val="22"/>
        </w:rPr>
        <w:t xml:space="preserve"> de contratación</w:t>
      </w:r>
      <w:r w:rsidR="000E13C2">
        <w:rPr>
          <w:rFonts w:ascii="Arial" w:eastAsia="Arial" w:hAnsi="Arial" w:cs="Arial"/>
          <w:bCs/>
          <w:i/>
          <w:iCs/>
          <w:sz w:val="22"/>
          <w:szCs w:val="22"/>
        </w:rPr>
        <w:t>. No obstante, es necesario un impulso en la formación de</w:t>
      </w:r>
      <w:r w:rsidR="0007736A" w:rsidRPr="0007736A">
        <w:rPr>
          <w:rFonts w:ascii="Arial" w:eastAsia="Arial" w:hAnsi="Arial" w:cs="Arial"/>
          <w:bCs/>
          <w:i/>
          <w:iCs/>
          <w:sz w:val="22"/>
          <w:szCs w:val="22"/>
        </w:rPr>
        <w:t xml:space="preserve"> los </w:t>
      </w:r>
      <w:r w:rsidR="000E13C2">
        <w:rPr>
          <w:rFonts w:ascii="Arial" w:eastAsia="Arial" w:hAnsi="Arial" w:cs="Arial"/>
          <w:bCs/>
          <w:i/>
          <w:iCs/>
          <w:sz w:val="22"/>
          <w:szCs w:val="22"/>
        </w:rPr>
        <w:t xml:space="preserve">perfiles verdes o </w:t>
      </w:r>
      <w:r w:rsidR="0007736A" w:rsidRPr="0007736A">
        <w:rPr>
          <w:rFonts w:ascii="Arial" w:eastAsia="Arial" w:hAnsi="Arial" w:cs="Arial"/>
          <w:bCs/>
          <w:i/>
          <w:iCs/>
          <w:sz w:val="22"/>
          <w:szCs w:val="22"/>
        </w:rPr>
        <w:t xml:space="preserve">‘green jobs’ </w:t>
      </w:r>
      <w:r w:rsidR="000E13C2">
        <w:rPr>
          <w:rFonts w:ascii="Arial" w:eastAsia="Arial" w:hAnsi="Arial" w:cs="Arial"/>
          <w:bCs/>
          <w:i/>
          <w:iCs/>
          <w:sz w:val="22"/>
          <w:szCs w:val="22"/>
        </w:rPr>
        <w:t>para poder dar respuesta a una demanda que aumentará exponencialmente a lo largo de los próximos años</w:t>
      </w:r>
      <w:r w:rsidR="0007736A">
        <w:rPr>
          <w:rFonts w:ascii="Arial" w:eastAsia="Arial" w:hAnsi="Arial" w:cs="Arial"/>
          <w:bCs/>
          <w:sz w:val="22"/>
          <w:szCs w:val="22"/>
        </w:rPr>
        <w:t>”.</w:t>
      </w:r>
    </w:p>
    <w:p w14:paraId="5C751694" w14:textId="77777777" w:rsidR="00D20504" w:rsidRDefault="00D20504" w:rsidP="00102DC7">
      <w:pPr>
        <w:spacing w:before="120" w:line="288" w:lineRule="auto"/>
        <w:jc w:val="both"/>
        <w:rPr>
          <w:rFonts w:ascii="Arial" w:eastAsia="Arial" w:hAnsi="Arial" w:cs="Arial"/>
          <w:b/>
          <w:bCs/>
          <w:sz w:val="22"/>
          <w:szCs w:val="22"/>
        </w:rPr>
      </w:pPr>
    </w:p>
    <w:p w14:paraId="55F4DDC3" w14:textId="38FB7F66" w:rsidR="003E34D9" w:rsidRDefault="003E34D9" w:rsidP="00102DC7">
      <w:pPr>
        <w:spacing w:before="120" w:line="288" w:lineRule="auto"/>
        <w:jc w:val="both"/>
        <w:rPr>
          <w:rFonts w:ascii="Arial" w:eastAsia="Arial" w:hAnsi="Arial" w:cs="Arial"/>
          <w:b/>
          <w:bCs/>
          <w:sz w:val="22"/>
          <w:szCs w:val="22"/>
        </w:rPr>
      </w:pPr>
      <w:r>
        <w:rPr>
          <w:rFonts w:ascii="Arial" w:eastAsia="Arial" w:hAnsi="Arial" w:cs="Arial"/>
          <w:b/>
          <w:bCs/>
          <w:sz w:val="22"/>
          <w:szCs w:val="22"/>
        </w:rPr>
        <w:t>Tecnología</w:t>
      </w:r>
      <w:r w:rsidR="00381BFE">
        <w:rPr>
          <w:rFonts w:ascii="Arial" w:eastAsia="Arial" w:hAnsi="Arial" w:cs="Arial"/>
          <w:b/>
          <w:bCs/>
          <w:sz w:val="22"/>
          <w:szCs w:val="22"/>
        </w:rPr>
        <w:t xml:space="preserve"> y</w:t>
      </w:r>
      <w:r>
        <w:rPr>
          <w:rFonts w:ascii="Arial" w:eastAsia="Arial" w:hAnsi="Arial" w:cs="Arial"/>
          <w:b/>
          <w:bCs/>
          <w:sz w:val="22"/>
          <w:szCs w:val="22"/>
        </w:rPr>
        <w:t xml:space="preserve"> Financiero e inmobiliario</w:t>
      </w:r>
      <w:r w:rsidR="00381BFE">
        <w:rPr>
          <w:rFonts w:ascii="Arial" w:eastAsia="Arial" w:hAnsi="Arial" w:cs="Arial"/>
          <w:b/>
          <w:bCs/>
          <w:sz w:val="22"/>
          <w:szCs w:val="22"/>
        </w:rPr>
        <w:t xml:space="preserve"> se unen a </w:t>
      </w:r>
      <w:r>
        <w:rPr>
          <w:rFonts w:ascii="Arial" w:eastAsia="Arial" w:hAnsi="Arial" w:cs="Arial"/>
          <w:b/>
          <w:bCs/>
          <w:sz w:val="22"/>
          <w:szCs w:val="22"/>
        </w:rPr>
        <w:t>Energía y suministros</w:t>
      </w:r>
      <w:r w:rsidR="00381BFE">
        <w:rPr>
          <w:rFonts w:ascii="Arial" w:eastAsia="Arial" w:hAnsi="Arial" w:cs="Arial"/>
          <w:b/>
          <w:bCs/>
          <w:sz w:val="22"/>
          <w:szCs w:val="22"/>
        </w:rPr>
        <w:t xml:space="preserve"> como</w:t>
      </w:r>
      <w:r>
        <w:rPr>
          <w:rFonts w:ascii="Arial" w:eastAsia="Arial" w:hAnsi="Arial" w:cs="Arial"/>
          <w:b/>
          <w:bCs/>
          <w:sz w:val="22"/>
          <w:szCs w:val="22"/>
        </w:rPr>
        <w:t xml:space="preserve"> los sectores más optimistas en sus previsiones netas de contratación</w:t>
      </w:r>
    </w:p>
    <w:p w14:paraId="2DEC64AC" w14:textId="77777777" w:rsidR="003E34D9" w:rsidRDefault="003E34D9" w:rsidP="00102DC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Al igual que en el trimestre anterior, </w:t>
      </w:r>
      <w:r>
        <w:rPr>
          <w:rFonts w:ascii="Arial" w:eastAsia="Arial" w:hAnsi="Arial" w:cs="Arial"/>
          <w:b/>
          <w:sz w:val="22"/>
          <w:szCs w:val="22"/>
        </w:rPr>
        <w:t>Tecnología se coloca como la industria más optimista, con una proyección neta del 34%</w:t>
      </w:r>
      <w:r>
        <w:rPr>
          <w:rFonts w:ascii="Arial" w:eastAsia="Arial" w:hAnsi="Arial" w:cs="Arial"/>
          <w:bCs/>
          <w:sz w:val="22"/>
          <w:szCs w:val="22"/>
        </w:rPr>
        <w:t xml:space="preserve">. Una cifra que se encuentra 3 puntos por encima de la </w:t>
      </w:r>
      <w:r>
        <w:rPr>
          <w:rFonts w:ascii="Arial" w:eastAsia="Arial" w:hAnsi="Arial" w:cs="Arial"/>
          <w:bCs/>
          <w:sz w:val="22"/>
          <w:szCs w:val="22"/>
        </w:rPr>
        <w:lastRenderedPageBreak/>
        <w:t>registrada en los tres meses anteriores, y que supone un crecimiento de 17 puntos en la comparativa interanual.</w:t>
      </w:r>
    </w:p>
    <w:p w14:paraId="7CA7B94D" w14:textId="77777777" w:rsidR="00707994" w:rsidRDefault="00707994" w:rsidP="00102DC7">
      <w:pPr>
        <w:spacing w:before="120" w:line="288" w:lineRule="auto"/>
        <w:jc w:val="both"/>
        <w:rPr>
          <w:rFonts w:ascii="Arial" w:eastAsia="Arial" w:hAnsi="Arial" w:cs="Arial"/>
          <w:bCs/>
          <w:sz w:val="22"/>
          <w:szCs w:val="22"/>
        </w:rPr>
      </w:pPr>
      <w:r w:rsidRPr="00707994">
        <w:rPr>
          <w:rFonts w:ascii="Arial" w:eastAsia="Arial" w:hAnsi="Arial" w:cs="Arial"/>
          <w:bCs/>
          <w:sz w:val="22"/>
          <w:szCs w:val="22"/>
        </w:rPr>
        <w:t xml:space="preserve">Tras el sector tecnológico, que lidera este ranking, se encuentra </w:t>
      </w:r>
      <w:r w:rsidRPr="00707994">
        <w:rPr>
          <w:rFonts w:ascii="Arial" w:eastAsia="Arial" w:hAnsi="Arial" w:cs="Arial"/>
          <w:b/>
          <w:sz w:val="22"/>
          <w:szCs w:val="22"/>
        </w:rPr>
        <w:t>Financiero e inmobiliario</w:t>
      </w:r>
      <w:r w:rsidRPr="00707994">
        <w:rPr>
          <w:rFonts w:ascii="Arial" w:eastAsia="Arial" w:hAnsi="Arial" w:cs="Arial"/>
          <w:bCs/>
          <w:sz w:val="22"/>
          <w:szCs w:val="22"/>
        </w:rPr>
        <w:t xml:space="preserve">, con un aumento intertrimestral de 1 punto, hasta situarse en el 24%. Respecto al mismo periodo del año anterior, este sector experimentó un incremento de 15 puntos. </w:t>
      </w:r>
    </w:p>
    <w:p w14:paraId="61EBA15E" w14:textId="707692D8" w:rsidR="003E34D9" w:rsidRDefault="00381BFE" w:rsidP="00102DC7">
      <w:pPr>
        <w:spacing w:before="120" w:line="288" w:lineRule="auto"/>
        <w:jc w:val="both"/>
        <w:rPr>
          <w:rFonts w:ascii="Arial" w:eastAsia="Arial" w:hAnsi="Arial" w:cs="Arial"/>
          <w:bCs/>
          <w:sz w:val="22"/>
          <w:szCs w:val="22"/>
        </w:rPr>
      </w:pPr>
      <w:r>
        <w:rPr>
          <w:rFonts w:ascii="Arial" w:eastAsia="Arial" w:hAnsi="Arial" w:cs="Arial"/>
          <w:bCs/>
          <w:sz w:val="22"/>
          <w:szCs w:val="22"/>
        </w:rPr>
        <w:t>Ya después de Energía y suministros, el ranking lo</w:t>
      </w:r>
      <w:r w:rsidR="003E34D9">
        <w:rPr>
          <w:rFonts w:ascii="Arial" w:eastAsia="Arial" w:hAnsi="Arial" w:cs="Arial"/>
          <w:bCs/>
          <w:sz w:val="22"/>
          <w:szCs w:val="22"/>
        </w:rPr>
        <w:t xml:space="preserve"> completan el resto de sectores (16%), Salud y farmacia (15%), Publicidad y comunicación (12%), Bienes y servicios de consumo (11%), Transporte, logística y automoción (3%), e Industria (2%).</w:t>
      </w:r>
    </w:p>
    <w:p w14:paraId="279A8E55" w14:textId="77777777" w:rsidR="003E34D9" w:rsidRPr="00190E3D" w:rsidRDefault="003E34D9" w:rsidP="00102DC7">
      <w:pPr>
        <w:spacing w:before="120" w:line="288" w:lineRule="auto"/>
        <w:jc w:val="both"/>
        <w:rPr>
          <w:rFonts w:ascii="Arial" w:eastAsia="Arial" w:hAnsi="Arial" w:cs="Arial"/>
          <w:bCs/>
          <w:sz w:val="22"/>
          <w:szCs w:val="22"/>
        </w:rPr>
      </w:pPr>
      <w:bookmarkStart w:id="6" w:name="_Hlk161242435"/>
      <w:r w:rsidRPr="001E7292">
        <w:rPr>
          <w:rFonts w:ascii="Arial" w:eastAsia="Arial" w:hAnsi="Arial" w:cs="Arial"/>
          <w:bCs/>
          <w:noProof/>
          <w:sz w:val="22"/>
          <w:szCs w:val="22"/>
        </w:rPr>
        <w:drawing>
          <wp:inline distT="0" distB="0" distL="0" distR="0" wp14:anchorId="3790E22B" wp14:editId="4C4156A0">
            <wp:extent cx="5760085" cy="1536700"/>
            <wp:effectExtent l="0" t="0" r="0" b="6350"/>
            <wp:docPr id="1739471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1905" name=""/>
                    <pic:cNvPicPr/>
                  </pic:nvPicPr>
                  <pic:blipFill rotWithShape="1">
                    <a:blip r:embed="rId8"/>
                    <a:srcRect t="3102" b="3026"/>
                    <a:stretch/>
                  </pic:blipFill>
                  <pic:spPr bwMode="auto">
                    <a:xfrm>
                      <a:off x="0" y="0"/>
                      <a:ext cx="5760085" cy="1536700"/>
                    </a:xfrm>
                    <a:prstGeom prst="rect">
                      <a:avLst/>
                    </a:prstGeom>
                    <a:ln>
                      <a:noFill/>
                    </a:ln>
                    <a:extLst>
                      <a:ext uri="{53640926-AAD7-44D8-BBD7-CCE9431645EC}">
                        <a14:shadowObscured xmlns:a14="http://schemas.microsoft.com/office/drawing/2010/main"/>
                      </a:ext>
                    </a:extLst>
                  </pic:spPr>
                </pic:pic>
              </a:graphicData>
            </a:graphic>
          </wp:inline>
        </w:drawing>
      </w:r>
    </w:p>
    <w:p w14:paraId="62B3F9DD" w14:textId="775545B4" w:rsidR="003E34D9" w:rsidRDefault="00102DC7" w:rsidP="00102DC7">
      <w:pPr>
        <w:spacing w:before="120" w:line="288" w:lineRule="auto"/>
        <w:jc w:val="right"/>
        <w:rPr>
          <w:rFonts w:ascii="Arial" w:eastAsia="Arial" w:hAnsi="Arial" w:cs="Arial"/>
          <w:b/>
          <w:bCs/>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4CF47347" w14:textId="77777777" w:rsidR="00102DC7" w:rsidRDefault="00102DC7" w:rsidP="00102DC7">
      <w:pPr>
        <w:spacing w:before="120" w:line="288" w:lineRule="auto"/>
        <w:jc w:val="both"/>
        <w:rPr>
          <w:rFonts w:ascii="Arial" w:eastAsia="Arial" w:hAnsi="Arial" w:cs="Arial"/>
          <w:b/>
          <w:bCs/>
          <w:sz w:val="22"/>
          <w:szCs w:val="22"/>
        </w:rPr>
      </w:pPr>
    </w:p>
    <w:bookmarkEnd w:id="6"/>
    <w:p w14:paraId="627665D4" w14:textId="18AA00FC" w:rsidR="00C16815" w:rsidRDefault="00C16815" w:rsidP="00102DC7">
      <w:pPr>
        <w:spacing w:before="120" w:line="288" w:lineRule="auto"/>
        <w:jc w:val="both"/>
        <w:rPr>
          <w:rFonts w:ascii="Arial" w:eastAsia="Arial" w:hAnsi="Arial" w:cs="Arial"/>
          <w:b/>
          <w:bCs/>
          <w:sz w:val="22"/>
          <w:szCs w:val="22"/>
        </w:rPr>
      </w:pPr>
      <w:r>
        <w:rPr>
          <w:rFonts w:ascii="Arial" w:eastAsia="Arial" w:hAnsi="Arial" w:cs="Arial"/>
          <w:b/>
          <w:bCs/>
          <w:sz w:val="22"/>
          <w:szCs w:val="22"/>
        </w:rPr>
        <w:t>E</w:t>
      </w:r>
      <w:r w:rsidRPr="00C16815">
        <w:rPr>
          <w:rFonts w:ascii="Arial" w:eastAsia="Arial" w:hAnsi="Arial" w:cs="Arial"/>
          <w:b/>
          <w:bCs/>
          <w:sz w:val="22"/>
          <w:szCs w:val="22"/>
        </w:rPr>
        <w:t xml:space="preserve">l sector apunta a unas perspectivas de creación de empleo del </w:t>
      </w:r>
      <w:r>
        <w:rPr>
          <w:rFonts w:ascii="Arial" w:eastAsia="Arial" w:hAnsi="Arial" w:cs="Arial"/>
          <w:b/>
          <w:bCs/>
          <w:sz w:val="22"/>
          <w:szCs w:val="22"/>
        </w:rPr>
        <w:t>18</w:t>
      </w:r>
      <w:r w:rsidRPr="00C16815">
        <w:rPr>
          <w:rFonts w:ascii="Arial" w:eastAsia="Arial" w:hAnsi="Arial" w:cs="Arial"/>
          <w:b/>
          <w:bCs/>
          <w:sz w:val="22"/>
          <w:szCs w:val="22"/>
        </w:rPr>
        <w:t>%</w:t>
      </w:r>
      <w:r>
        <w:rPr>
          <w:rFonts w:ascii="Arial" w:eastAsia="Arial" w:hAnsi="Arial" w:cs="Arial"/>
          <w:b/>
          <w:bCs/>
          <w:sz w:val="22"/>
          <w:szCs w:val="22"/>
        </w:rPr>
        <w:t xml:space="preserve"> a nivel global</w:t>
      </w:r>
    </w:p>
    <w:p w14:paraId="1C6EBB80" w14:textId="16B0B7B8" w:rsidR="00C16815" w:rsidRDefault="003E34D9" w:rsidP="00102DC7">
      <w:pPr>
        <w:spacing w:before="120" w:line="288" w:lineRule="auto"/>
        <w:jc w:val="both"/>
        <w:rPr>
          <w:rFonts w:ascii="Arial" w:eastAsia="Arial" w:hAnsi="Arial" w:cs="Arial"/>
          <w:sz w:val="22"/>
          <w:szCs w:val="22"/>
        </w:rPr>
      </w:pPr>
      <w:r>
        <w:rPr>
          <w:rFonts w:ascii="Arial" w:eastAsia="Arial" w:hAnsi="Arial" w:cs="Arial"/>
          <w:sz w:val="22"/>
          <w:szCs w:val="22"/>
        </w:rPr>
        <w:t xml:space="preserve">En el análisis global, las empresas del sector </w:t>
      </w:r>
      <w:r w:rsidR="00C16815">
        <w:rPr>
          <w:rFonts w:ascii="Arial" w:eastAsia="Arial" w:hAnsi="Arial" w:cs="Arial"/>
          <w:sz w:val="22"/>
          <w:szCs w:val="22"/>
        </w:rPr>
        <w:t>energético</w:t>
      </w:r>
      <w:r>
        <w:rPr>
          <w:rFonts w:ascii="Arial" w:eastAsia="Arial" w:hAnsi="Arial" w:cs="Arial"/>
          <w:sz w:val="22"/>
          <w:szCs w:val="22"/>
        </w:rPr>
        <w:t xml:space="preserve"> </w:t>
      </w:r>
      <w:r w:rsidR="00C16815">
        <w:rPr>
          <w:rFonts w:ascii="Arial" w:eastAsia="Arial" w:hAnsi="Arial" w:cs="Arial"/>
          <w:sz w:val="22"/>
          <w:szCs w:val="22"/>
        </w:rPr>
        <w:t>experimentan un leve retroceso</w:t>
      </w:r>
      <w:r w:rsidR="00F82B7E">
        <w:rPr>
          <w:rFonts w:ascii="Arial" w:eastAsia="Arial" w:hAnsi="Arial" w:cs="Arial"/>
          <w:sz w:val="22"/>
          <w:szCs w:val="22"/>
        </w:rPr>
        <w:t xml:space="preserve"> en sus previsiones de generación de empleo, hasta situarse en el </w:t>
      </w:r>
      <w:r w:rsidR="00C16815">
        <w:rPr>
          <w:rFonts w:ascii="Arial" w:eastAsia="Arial" w:hAnsi="Arial" w:cs="Arial"/>
          <w:sz w:val="22"/>
          <w:szCs w:val="22"/>
        </w:rPr>
        <w:t>18</w:t>
      </w:r>
      <w:r>
        <w:rPr>
          <w:rFonts w:ascii="Arial" w:eastAsia="Arial" w:hAnsi="Arial" w:cs="Arial"/>
          <w:sz w:val="22"/>
          <w:szCs w:val="22"/>
        </w:rPr>
        <w:t xml:space="preserve">%. </w:t>
      </w:r>
      <w:r w:rsidR="00C16815">
        <w:rPr>
          <w:rFonts w:ascii="Arial" w:eastAsia="Arial" w:hAnsi="Arial" w:cs="Arial"/>
          <w:sz w:val="22"/>
          <w:szCs w:val="22"/>
        </w:rPr>
        <w:t xml:space="preserve">Así, este resultado </w:t>
      </w:r>
      <w:r w:rsidR="00F82B7E">
        <w:rPr>
          <w:rFonts w:ascii="Arial" w:eastAsia="Arial" w:hAnsi="Arial" w:cs="Arial"/>
          <w:sz w:val="22"/>
          <w:szCs w:val="22"/>
        </w:rPr>
        <w:t xml:space="preserve">-que </w:t>
      </w:r>
      <w:r w:rsidR="00C16815">
        <w:rPr>
          <w:rFonts w:ascii="Arial" w:eastAsia="Arial" w:hAnsi="Arial" w:cs="Arial"/>
          <w:sz w:val="22"/>
          <w:szCs w:val="22"/>
        </w:rPr>
        <w:t>se sitúa 2 puntos por debajo del resultado obtenido en España</w:t>
      </w:r>
      <w:r w:rsidR="00F82B7E">
        <w:rPr>
          <w:rFonts w:ascii="Arial" w:eastAsia="Arial" w:hAnsi="Arial" w:cs="Arial"/>
          <w:sz w:val="22"/>
          <w:szCs w:val="22"/>
        </w:rPr>
        <w:t>-</w:t>
      </w:r>
      <w:r w:rsidR="00C16815">
        <w:rPr>
          <w:rFonts w:ascii="Arial" w:eastAsia="Arial" w:hAnsi="Arial" w:cs="Arial"/>
          <w:sz w:val="22"/>
          <w:szCs w:val="22"/>
        </w:rPr>
        <w:t xml:space="preserve"> supone una caída de 8 puntos, tanto a nivel intertrimestral como interanual.</w:t>
      </w:r>
    </w:p>
    <w:p w14:paraId="55139EA9" w14:textId="77777777" w:rsidR="00D20504" w:rsidRDefault="00D20504" w:rsidP="00102DC7">
      <w:pPr>
        <w:spacing w:before="120" w:line="288" w:lineRule="auto"/>
        <w:jc w:val="right"/>
        <w:rPr>
          <w:rFonts w:ascii="Arial" w:eastAsiaTheme="minorEastAsia" w:hAnsi="Arial" w:cs="Arial"/>
          <w:b/>
          <w:bCs/>
          <w:i/>
          <w:iCs/>
          <w:sz w:val="18"/>
          <w:szCs w:val="18"/>
          <w:lang w:eastAsia="zh-CN"/>
        </w:rPr>
      </w:pPr>
      <w:bookmarkStart w:id="7" w:name="_Hlk161240482"/>
      <w:bookmarkStart w:id="8" w:name="_Hlk161242444"/>
      <w:bookmarkEnd w:id="4"/>
      <w:bookmarkEnd w:id="5"/>
      <w:r>
        <w:rPr>
          <w:rFonts w:ascii="Arial" w:eastAsiaTheme="minorEastAsia" w:hAnsi="Arial" w:cs="Arial"/>
          <w:b/>
          <w:bCs/>
          <w:i/>
          <w:iCs/>
          <w:noProof/>
          <w:sz w:val="18"/>
          <w:szCs w:val="18"/>
          <w:lang w:eastAsia="zh-CN"/>
        </w:rPr>
        <w:drawing>
          <wp:inline distT="0" distB="0" distL="0" distR="0" wp14:anchorId="335EDC2B" wp14:editId="37B22774">
            <wp:extent cx="5868455" cy="1860007"/>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1562" cy="1870500"/>
                    </a:xfrm>
                    <a:prstGeom prst="rect">
                      <a:avLst/>
                    </a:prstGeom>
                    <a:noFill/>
                  </pic:spPr>
                </pic:pic>
              </a:graphicData>
            </a:graphic>
          </wp:inline>
        </w:drawing>
      </w:r>
    </w:p>
    <w:p w14:paraId="6CBA9554" w14:textId="77777777" w:rsidR="00D20504" w:rsidRPr="00687087" w:rsidRDefault="00D20504" w:rsidP="00102DC7">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p w14:paraId="087D0813" w14:textId="77777777" w:rsidR="00D20504" w:rsidRPr="00D619B9" w:rsidRDefault="00D20504" w:rsidP="00102DC7">
      <w:pPr>
        <w:spacing w:before="120" w:line="288" w:lineRule="auto"/>
        <w:jc w:val="both"/>
        <w:rPr>
          <w:rFonts w:ascii="Arial" w:eastAsia="Arial" w:hAnsi="Arial" w:cs="Arial"/>
          <w:sz w:val="22"/>
          <w:szCs w:val="22"/>
        </w:rPr>
      </w:pPr>
      <w:bookmarkStart w:id="9" w:name="_Hlk161240511"/>
      <w:bookmarkEnd w:id="7"/>
    </w:p>
    <w:p w14:paraId="3FAB8131" w14:textId="77777777" w:rsidR="00D20504" w:rsidRPr="00DC55EB" w:rsidRDefault="00D20504" w:rsidP="00102DC7">
      <w:pPr>
        <w:spacing w:before="120" w:line="288" w:lineRule="auto"/>
        <w:ind w:right="-1"/>
        <w:jc w:val="both"/>
        <w:rPr>
          <w:rFonts w:ascii="Arial" w:hAnsi="Arial" w:cs="Arial"/>
          <w:sz w:val="20"/>
          <w:szCs w:val="20"/>
        </w:rPr>
      </w:pPr>
      <w:r w:rsidRPr="00DC55EB">
        <w:rPr>
          <w:rFonts w:ascii="Arial" w:hAnsi="Arial" w:cs="Arial"/>
          <w:b/>
          <w:bCs/>
          <w:sz w:val="20"/>
          <w:szCs w:val="20"/>
        </w:rPr>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 xml:space="preserve">40.385 </w:t>
      </w:r>
      <w:r w:rsidRPr="00DC55EB">
        <w:rPr>
          <w:rFonts w:ascii="Arial" w:hAnsi="Arial" w:cs="Arial"/>
          <w:b/>
          <w:bCs/>
          <w:sz w:val="20"/>
          <w:szCs w:val="20"/>
        </w:rPr>
        <w:t>empresas de todo el mundo -1.0</w:t>
      </w:r>
      <w:r>
        <w:rPr>
          <w:rFonts w:ascii="Arial" w:hAnsi="Arial" w:cs="Arial"/>
          <w:b/>
          <w:bCs/>
          <w:sz w:val="20"/>
          <w:szCs w:val="20"/>
        </w:rPr>
        <w:t>49</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w:t>
      </w:r>
      <w:r w:rsidRPr="00DC55EB">
        <w:rPr>
          <w:rFonts w:ascii="Arial" w:hAnsi="Arial" w:cs="Arial"/>
          <w:sz w:val="20"/>
          <w:szCs w:val="20"/>
        </w:rPr>
        <w:lastRenderedPageBreak/>
        <w:t>para cada trimestre. Esta muestra permite realizar un análisis por sectores y regiones -ya que están estandarizados en todos los mercados- y así ofrecer una información más detallada.</w:t>
      </w:r>
    </w:p>
    <w:p w14:paraId="318808CC" w14:textId="77777777" w:rsidR="00D20504" w:rsidRPr="00DC55EB" w:rsidRDefault="00D20504" w:rsidP="00102DC7">
      <w:pPr>
        <w:spacing w:before="120" w:line="288" w:lineRule="auto"/>
        <w:ind w:right="-1"/>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C55EB">
        <w:rPr>
          <w:rFonts w:ascii="Arial" w:hAnsi="Arial" w:cs="Arial"/>
          <w:b/>
          <w:bCs/>
          <w:sz w:val="20"/>
          <w:szCs w:val="20"/>
        </w:rPr>
        <w:t xml:space="preserve">“¿Cómo prevé usted que cambiará el empleo total en su empresa en el próximo trimestre, hasta finales de </w:t>
      </w:r>
      <w:r>
        <w:rPr>
          <w:rFonts w:ascii="Arial" w:hAnsi="Arial" w:cs="Arial"/>
          <w:b/>
          <w:bCs/>
          <w:sz w:val="20"/>
          <w:szCs w:val="20"/>
        </w:rPr>
        <w:t xml:space="preserve">junio </w:t>
      </w:r>
      <w:r w:rsidRPr="00DC55EB">
        <w:rPr>
          <w:rFonts w:ascii="Arial" w:hAnsi="Arial" w:cs="Arial"/>
          <w:b/>
          <w:bCs/>
          <w:sz w:val="20"/>
          <w:szCs w:val="20"/>
        </w:rPr>
        <w:t>de 2024, en comparación con el trimestre 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4AC64556" w14:textId="77777777" w:rsidR="00D20504" w:rsidRPr="00DC55EB" w:rsidRDefault="00D20504" w:rsidP="00102DC7">
      <w:pPr>
        <w:spacing w:before="120" w:line="288" w:lineRule="auto"/>
        <w:ind w:right="-1"/>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4C1D84AF" w14:textId="77777777" w:rsidR="005209A4" w:rsidRDefault="005209A4" w:rsidP="0006407D">
      <w:pPr>
        <w:jc w:val="both"/>
        <w:rPr>
          <w:rFonts w:ascii="Arial" w:hAnsi="Arial" w:cs="Arial"/>
          <w:bCs/>
          <w:sz w:val="16"/>
          <w:szCs w:val="16"/>
        </w:rPr>
      </w:pPr>
      <w:bookmarkStart w:id="10" w:name="_Hlk161242560"/>
      <w:bookmarkEnd w:id="9"/>
    </w:p>
    <w:p w14:paraId="0D96758B" w14:textId="77777777" w:rsidR="00D20504" w:rsidRDefault="00D20504" w:rsidP="0006407D">
      <w:pPr>
        <w:jc w:val="both"/>
        <w:rPr>
          <w:rFonts w:ascii="Arial" w:hAnsi="Arial" w:cs="Arial"/>
          <w:bCs/>
          <w:sz w:val="16"/>
          <w:szCs w:val="16"/>
        </w:rPr>
      </w:pPr>
    </w:p>
    <w:p w14:paraId="592D7D7A" w14:textId="77777777" w:rsidR="00D20504" w:rsidRDefault="00D20504" w:rsidP="0006407D">
      <w:pPr>
        <w:jc w:val="both"/>
        <w:rPr>
          <w:rFonts w:ascii="Arial" w:hAnsi="Arial" w:cs="Arial"/>
          <w:bCs/>
          <w:sz w:val="16"/>
          <w:szCs w:val="16"/>
        </w:rPr>
      </w:pPr>
    </w:p>
    <w:p w14:paraId="7C6D7306" w14:textId="77777777"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Pr="005209A4" w:rsidRDefault="008F16C4"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5209A4" w14:paraId="0018B07B" w14:textId="77777777" w:rsidTr="00D8716B">
        <w:trPr>
          <w:trHeight w:val="1159"/>
        </w:trPr>
        <w:tc>
          <w:tcPr>
            <w:tcW w:w="2943" w:type="dxa"/>
            <w:hideMark/>
          </w:tcPr>
          <w:p w14:paraId="437D86C7" w14:textId="77777777" w:rsidR="0006407D" w:rsidRPr="005209A4" w:rsidRDefault="0006407D" w:rsidP="0006407D">
            <w:pPr>
              <w:pStyle w:val="NormalWeb"/>
              <w:spacing w:before="0" w:beforeAutospacing="0" w:after="0" w:afterAutospacing="0"/>
              <w:jc w:val="both"/>
              <w:rPr>
                <w:rStyle w:val="Hipervnculo"/>
                <w:rFonts w:ascii="Arial" w:hAnsi="Arial" w:cs="Arial"/>
                <w:color w:val="auto"/>
                <w:sz w:val="16"/>
                <w:szCs w:val="16"/>
                <w:u w:val="none"/>
              </w:rPr>
            </w:pPr>
            <w:bookmarkStart w:id="11" w:name="_Hlk90207537"/>
            <w:r w:rsidRPr="005209A4">
              <w:rPr>
                <w:rFonts w:ascii="Arial" w:hAnsi="Arial" w:cs="Arial"/>
                <w:color w:val="000000"/>
                <w:sz w:val="16"/>
                <w:szCs w:val="16"/>
                <w:u w:val="single"/>
              </w:rPr>
              <w:t>Agencia de comunicación Indie PR</w:t>
            </w:r>
          </w:p>
          <w:p w14:paraId="41A86BAA" w14:textId="77777777" w:rsidR="0006407D" w:rsidRPr="005209A4" w:rsidRDefault="0006407D" w:rsidP="0006407D">
            <w:pPr>
              <w:pStyle w:val="NormalWeb"/>
              <w:spacing w:before="0" w:beforeAutospacing="0" w:after="0" w:afterAutospacing="0"/>
              <w:jc w:val="both"/>
              <w:rPr>
                <w:rFonts w:ascii="Arial" w:hAnsi="Arial" w:cs="Arial"/>
                <w:sz w:val="16"/>
                <w:szCs w:val="16"/>
              </w:rPr>
            </w:pPr>
            <w:r w:rsidRPr="005209A4">
              <w:rPr>
                <w:rFonts w:ascii="Arial" w:hAnsi="Arial" w:cs="Arial"/>
                <w:b/>
                <w:bCs/>
                <w:color w:val="000000"/>
                <w:sz w:val="16"/>
                <w:szCs w:val="16"/>
              </w:rPr>
              <w:t>Cristina Villanueva</w:t>
            </w:r>
          </w:p>
          <w:p w14:paraId="75373DC2" w14:textId="77777777" w:rsidR="0006407D" w:rsidRPr="005209A4" w:rsidRDefault="0006407D" w:rsidP="0006407D">
            <w:pPr>
              <w:pStyle w:val="NormalWeb"/>
              <w:spacing w:before="0" w:beforeAutospacing="0" w:after="0" w:afterAutospacing="0"/>
              <w:rPr>
                <w:rFonts w:ascii="Arial" w:hAnsi="Arial" w:cs="Arial"/>
                <w:color w:val="000000"/>
                <w:sz w:val="16"/>
                <w:szCs w:val="16"/>
              </w:rPr>
            </w:pPr>
            <w:r w:rsidRPr="005209A4">
              <w:rPr>
                <w:rFonts w:ascii="Arial" w:hAnsi="Arial" w:cs="Arial"/>
                <w:color w:val="000000"/>
                <w:sz w:val="16"/>
                <w:szCs w:val="16"/>
              </w:rPr>
              <w:t>Tel.: 687 14 73 60</w:t>
            </w:r>
          </w:p>
          <w:p w14:paraId="634935FC" w14:textId="77777777" w:rsidR="0006407D" w:rsidRPr="005209A4" w:rsidRDefault="00706150" w:rsidP="0006407D">
            <w:pPr>
              <w:pStyle w:val="NormalWeb"/>
              <w:spacing w:before="0" w:beforeAutospacing="0" w:after="0" w:afterAutospacing="0"/>
              <w:rPr>
                <w:rStyle w:val="Hipervnculo"/>
                <w:rFonts w:ascii="Arial" w:hAnsi="Arial" w:cs="Arial"/>
                <w:color w:val="1155CC"/>
                <w:sz w:val="16"/>
                <w:szCs w:val="16"/>
              </w:rPr>
            </w:pPr>
            <w:hyperlink r:id="rId11" w:history="1">
              <w:r w:rsidR="0006407D" w:rsidRPr="005209A4">
                <w:rPr>
                  <w:rStyle w:val="Hipervnculo"/>
                  <w:rFonts w:ascii="Arial" w:hAnsi="Arial" w:cs="Arial"/>
                  <w:sz w:val="16"/>
                  <w:szCs w:val="16"/>
                </w:rPr>
                <w:t>cristina@indiepr.es</w:t>
              </w:r>
            </w:hyperlink>
          </w:p>
          <w:p w14:paraId="0AA8DDCA" w14:textId="77777777" w:rsidR="0006407D" w:rsidRPr="005209A4" w:rsidRDefault="0006407D" w:rsidP="0006407D">
            <w:pPr>
              <w:pStyle w:val="NormalWeb"/>
              <w:spacing w:before="0" w:beforeAutospacing="0" w:after="0" w:afterAutospacing="0"/>
              <w:jc w:val="both"/>
              <w:rPr>
                <w:rStyle w:val="Hipervnculo"/>
                <w:rFonts w:ascii="Arial" w:hAnsi="Arial" w:cs="Arial"/>
                <w:color w:val="1155CC"/>
                <w:sz w:val="16"/>
                <w:szCs w:val="16"/>
              </w:rPr>
            </w:pPr>
          </w:p>
          <w:p w14:paraId="0B514EAD" w14:textId="77777777" w:rsidR="0006407D" w:rsidRPr="005209A4" w:rsidRDefault="0006407D" w:rsidP="0006407D">
            <w:pPr>
              <w:pStyle w:val="NormalWeb"/>
              <w:spacing w:before="0" w:beforeAutospacing="0" w:after="0" w:afterAutospacing="0"/>
              <w:jc w:val="both"/>
              <w:rPr>
                <w:rFonts w:ascii="Arial" w:hAnsi="Arial" w:cs="Arial"/>
                <w:sz w:val="16"/>
                <w:szCs w:val="16"/>
              </w:rPr>
            </w:pPr>
            <w:r w:rsidRPr="005209A4">
              <w:rPr>
                <w:rFonts w:ascii="Arial" w:hAnsi="Arial" w:cs="Arial"/>
                <w:b/>
                <w:bCs/>
                <w:color w:val="000000"/>
                <w:sz w:val="16"/>
                <w:szCs w:val="16"/>
              </w:rPr>
              <w:t>Rosa Estarellas</w:t>
            </w:r>
          </w:p>
          <w:p w14:paraId="4943F07B" w14:textId="77777777" w:rsidR="0006407D" w:rsidRPr="005209A4" w:rsidRDefault="0006407D" w:rsidP="0006407D">
            <w:pPr>
              <w:pStyle w:val="NormalWeb"/>
              <w:spacing w:before="0" w:beforeAutospacing="0" w:after="0" w:afterAutospacing="0"/>
              <w:jc w:val="both"/>
              <w:rPr>
                <w:rFonts w:ascii="Arial" w:hAnsi="Arial" w:cs="Arial"/>
                <w:sz w:val="16"/>
                <w:szCs w:val="16"/>
              </w:rPr>
            </w:pPr>
            <w:r w:rsidRPr="005209A4">
              <w:rPr>
                <w:rFonts w:ascii="Arial" w:hAnsi="Arial" w:cs="Arial"/>
                <w:color w:val="000000"/>
                <w:sz w:val="16"/>
                <w:szCs w:val="16"/>
              </w:rPr>
              <w:t>Tel.: 618 43 13 89</w:t>
            </w:r>
          </w:p>
          <w:p w14:paraId="42BF9EDC" w14:textId="5684F792" w:rsidR="001A2A76" w:rsidRPr="005209A4" w:rsidRDefault="00706150" w:rsidP="0006407D">
            <w:pPr>
              <w:jc w:val="both"/>
              <w:outlineLvl w:val="0"/>
              <w:rPr>
                <w:rFonts w:ascii="Arial" w:hAnsi="Arial" w:cs="Arial"/>
                <w:b/>
                <w:sz w:val="16"/>
                <w:szCs w:val="16"/>
                <w:lang w:val="ca-ES"/>
              </w:rPr>
            </w:pPr>
            <w:hyperlink r:id="rId12" w:history="1">
              <w:r w:rsidR="0006407D" w:rsidRPr="005209A4">
                <w:rPr>
                  <w:rStyle w:val="Hipervnculo"/>
                  <w:rFonts w:ascii="Arial" w:hAnsi="Arial" w:cs="Arial"/>
                  <w:sz w:val="16"/>
                  <w:szCs w:val="16"/>
                </w:rPr>
                <w:t>rosa@indiepr.es</w:t>
              </w:r>
            </w:hyperlink>
          </w:p>
        </w:tc>
        <w:tc>
          <w:tcPr>
            <w:tcW w:w="2977" w:type="dxa"/>
          </w:tcPr>
          <w:p w14:paraId="4C3E35BD" w14:textId="77777777" w:rsidR="001A2A76" w:rsidRPr="005209A4" w:rsidRDefault="001A2A76" w:rsidP="0006407D">
            <w:pPr>
              <w:jc w:val="both"/>
              <w:rPr>
                <w:rFonts w:ascii="Arial" w:hAnsi="Arial" w:cs="Arial"/>
                <w:sz w:val="16"/>
                <w:szCs w:val="16"/>
                <w:lang w:val="ca-ES"/>
              </w:rPr>
            </w:pPr>
          </w:p>
        </w:tc>
        <w:tc>
          <w:tcPr>
            <w:tcW w:w="3028" w:type="dxa"/>
          </w:tcPr>
          <w:p w14:paraId="7657972C" w14:textId="77777777" w:rsidR="0006407D" w:rsidRPr="005209A4" w:rsidRDefault="0006407D" w:rsidP="0006407D">
            <w:pPr>
              <w:jc w:val="both"/>
              <w:outlineLvl w:val="0"/>
              <w:rPr>
                <w:rFonts w:ascii="Arial" w:hAnsi="Arial" w:cs="Arial"/>
                <w:b/>
                <w:sz w:val="16"/>
                <w:szCs w:val="16"/>
              </w:rPr>
            </w:pPr>
            <w:r w:rsidRPr="005209A4">
              <w:rPr>
                <w:rFonts w:ascii="Arial" w:hAnsi="Arial" w:cs="Arial"/>
                <w:b/>
                <w:sz w:val="16"/>
                <w:szCs w:val="16"/>
              </w:rPr>
              <w:t>ManpowerGroup</w:t>
            </w:r>
          </w:p>
          <w:p w14:paraId="194F7523" w14:textId="77777777" w:rsidR="0006407D" w:rsidRPr="005209A4" w:rsidRDefault="0006407D" w:rsidP="0006407D">
            <w:pPr>
              <w:jc w:val="both"/>
              <w:outlineLvl w:val="0"/>
              <w:rPr>
                <w:rFonts w:ascii="Arial" w:hAnsi="Arial" w:cs="Arial"/>
                <w:sz w:val="16"/>
                <w:szCs w:val="16"/>
              </w:rPr>
            </w:pPr>
            <w:r w:rsidRPr="005209A4">
              <w:rPr>
                <w:rFonts w:ascii="Arial" w:hAnsi="Arial" w:cs="Arial"/>
                <w:sz w:val="16"/>
                <w:szCs w:val="16"/>
              </w:rPr>
              <w:t>Dpto. Comunicación</w:t>
            </w:r>
          </w:p>
          <w:p w14:paraId="184D86D3"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Juan Gómez Rodríguez</w:t>
            </w:r>
          </w:p>
          <w:p w14:paraId="713A0E96"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Tel. 687 51 96 90</w:t>
            </w:r>
          </w:p>
          <w:p w14:paraId="0C53A61F" w14:textId="654281E1" w:rsidR="001A2A76" w:rsidRPr="005209A4" w:rsidRDefault="00706150" w:rsidP="0006407D">
            <w:pPr>
              <w:jc w:val="both"/>
              <w:rPr>
                <w:rFonts w:ascii="Arial" w:hAnsi="Arial" w:cs="Arial"/>
                <w:sz w:val="16"/>
                <w:szCs w:val="16"/>
              </w:rPr>
            </w:pPr>
            <w:hyperlink r:id="rId13" w:history="1">
              <w:r w:rsidR="0006407D" w:rsidRPr="005209A4">
                <w:rPr>
                  <w:rStyle w:val="Hipervnculo"/>
                  <w:rFonts w:ascii="Arial" w:hAnsi="Arial" w:cs="Arial"/>
                  <w:sz w:val="16"/>
                  <w:szCs w:val="16"/>
                </w:rPr>
                <w:t>juan.gomez@manpowergroup.es</w:t>
              </w:r>
            </w:hyperlink>
          </w:p>
        </w:tc>
      </w:tr>
      <w:bookmarkEnd w:id="0"/>
      <w:bookmarkEnd w:id="1"/>
      <w:bookmarkEnd w:id="11"/>
      <w:bookmarkEnd w:id="8"/>
      <w:bookmarkEnd w:id="10"/>
    </w:tbl>
    <w:p w14:paraId="0F55B214" w14:textId="77777777" w:rsidR="008E54AD" w:rsidRPr="005209A4" w:rsidRDefault="008E54AD" w:rsidP="008B3A52">
      <w:pPr>
        <w:tabs>
          <w:tab w:val="right" w:pos="8838"/>
        </w:tabs>
        <w:autoSpaceDE w:val="0"/>
        <w:autoSpaceDN w:val="0"/>
        <w:adjustRightInd w:val="0"/>
        <w:jc w:val="both"/>
        <w:rPr>
          <w:rFonts w:ascii="Arial" w:hAnsi="Arial" w:cs="Arial"/>
          <w:b/>
          <w:bCs/>
          <w:sz w:val="16"/>
          <w:szCs w:val="16"/>
        </w:rPr>
      </w:pPr>
    </w:p>
    <w:sectPr w:rsidR="008E54AD" w:rsidRPr="005209A4"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F29A" w14:textId="77777777" w:rsidR="00EE2B53" w:rsidRDefault="00EE2B53">
      <w:r>
        <w:separator/>
      </w:r>
    </w:p>
  </w:endnote>
  <w:endnote w:type="continuationSeparator" w:id="0">
    <w:p w14:paraId="1B5D85F2" w14:textId="77777777" w:rsidR="00EE2B53" w:rsidRDefault="00EE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585C" w14:textId="77777777" w:rsidR="00EE2B53" w:rsidRDefault="00EE2B53">
      <w:r>
        <w:separator/>
      </w:r>
    </w:p>
  </w:footnote>
  <w:footnote w:type="continuationSeparator" w:id="0">
    <w:p w14:paraId="442406BE" w14:textId="77777777" w:rsidR="00EE2B53" w:rsidRDefault="00EE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7736A"/>
    <w:rsid w:val="000869A2"/>
    <w:rsid w:val="000906C2"/>
    <w:rsid w:val="00095B8E"/>
    <w:rsid w:val="000A1973"/>
    <w:rsid w:val="000D2B5A"/>
    <w:rsid w:val="000D6BCE"/>
    <w:rsid w:val="000E13C2"/>
    <w:rsid w:val="000E71B3"/>
    <w:rsid w:val="000F1600"/>
    <w:rsid w:val="00102DC7"/>
    <w:rsid w:val="0011037D"/>
    <w:rsid w:val="0012170F"/>
    <w:rsid w:val="00121B5C"/>
    <w:rsid w:val="00122E68"/>
    <w:rsid w:val="00123015"/>
    <w:rsid w:val="00124DEA"/>
    <w:rsid w:val="0012624A"/>
    <w:rsid w:val="001324E2"/>
    <w:rsid w:val="00132B7B"/>
    <w:rsid w:val="00137C4E"/>
    <w:rsid w:val="00142E26"/>
    <w:rsid w:val="00157558"/>
    <w:rsid w:val="0016677F"/>
    <w:rsid w:val="0017076E"/>
    <w:rsid w:val="001741E5"/>
    <w:rsid w:val="00176074"/>
    <w:rsid w:val="00181155"/>
    <w:rsid w:val="00183B91"/>
    <w:rsid w:val="0018572B"/>
    <w:rsid w:val="00186814"/>
    <w:rsid w:val="0019152E"/>
    <w:rsid w:val="00196895"/>
    <w:rsid w:val="001A2A76"/>
    <w:rsid w:val="001B13C9"/>
    <w:rsid w:val="001B18D2"/>
    <w:rsid w:val="001B2737"/>
    <w:rsid w:val="001B39AD"/>
    <w:rsid w:val="001E7C84"/>
    <w:rsid w:val="002059D2"/>
    <w:rsid w:val="00212129"/>
    <w:rsid w:val="002246BA"/>
    <w:rsid w:val="00226CF7"/>
    <w:rsid w:val="002331A8"/>
    <w:rsid w:val="0024317A"/>
    <w:rsid w:val="00254285"/>
    <w:rsid w:val="00275B27"/>
    <w:rsid w:val="00280DEC"/>
    <w:rsid w:val="002870C7"/>
    <w:rsid w:val="00294475"/>
    <w:rsid w:val="002A1736"/>
    <w:rsid w:val="002A3D92"/>
    <w:rsid w:val="002B3F52"/>
    <w:rsid w:val="002B461A"/>
    <w:rsid w:val="002C02D9"/>
    <w:rsid w:val="002D032D"/>
    <w:rsid w:val="002D69D8"/>
    <w:rsid w:val="002E289B"/>
    <w:rsid w:val="002F04D0"/>
    <w:rsid w:val="003019C9"/>
    <w:rsid w:val="0031261F"/>
    <w:rsid w:val="0032424C"/>
    <w:rsid w:val="00326125"/>
    <w:rsid w:val="00332D02"/>
    <w:rsid w:val="00337FD2"/>
    <w:rsid w:val="00344595"/>
    <w:rsid w:val="00346E05"/>
    <w:rsid w:val="003470C8"/>
    <w:rsid w:val="003509A5"/>
    <w:rsid w:val="0035236D"/>
    <w:rsid w:val="00356679"/>
    <w:rsid w:val="00357D6E"/>
    <w:rsid w:val="0038103A"/>
    <w:rsid w:val="00381BFE"/>
    <w:rsid w:val="00383F58"/>
    <w:rsid w:val="00393767"/>
    <w:rsid w:val="003A214F"/>
    <w:rsid w:val="003A2B29"/>
    <w:rsid w:val="003B09CB"/>
    <w:rsid w:val="003C5FF2"/>
    <w:rsid w:val="003D0E85"/>
    <w:rsid w:val="003D4F9E"/>
    <w:rsid w:val="003E08D8"/>
    <w:rsid w:val="003E34D9"/>
    <w:rsid w:val="003E70B2"/>
    <w:rsid w:val="003F40DD"/>
    <w:rsid w:val="00401FD2"/>
    <w:rsid w:val="00407AD8"/>
    <w:rsid w:val="004162DB"/>
    <w:rsid w:val="0044035B"/>
    <w:rsid w:val="00441AA5"/>
    <w:rsid w:val="004510D0"/>
    <w:rsid w:val="004612C2"/>
    <w:rsid w:val="00466751"/>
    <w:rsid w:val="00492F25"/>
    <w:rsid w:val="00494ED4"/>
    <w:rsid w:val="00497689"/>
    <w:rsid w:val="004B596E"/>
    <w:rsid w:val="004C0F40"/>
    <w:rsid w:val="004C2618"/>
    <w:rsid w:val="004C5A7E"/>
    <w:rsid w:val="004C607E"/>
    <w:rsid w:val="004C7CAC"/>
    <w:rsid w:val="004D1FAF"/>
    <w:rsid w:val="004D5C94"/>
    <w:rsid w:val="004D7F17"/>
    <w:rsid w:val="004E23C4"/>
    <w:rsid w:val="004F52B5"/>
    <w:rsid w:val="004F67EC"/>
    <w:rsid w:val="00511BED"/>
    <w:rsid w:val="00512001"/>
    <w:rsid w:val="00512ACD"/>
    <w:rsid w:val="00515D51"/>
    <w:rsid w:val="005201CA"/>
    <w:rsid w:val="005209A4"/>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5DC2"/>
    <w:rsid w:val="005E4173"/>
    <w:rsid w:val="005F0582"/>
    <w:rsid w:val="005F1509"/>
    <w:rsid w:val="005F1CEB"/>
    <w:rsid w:val="00601B68"/>
    <w:rsid w:val="00635FD7"/>
    <w:rsid w:val="00636A81"/>
    <w:rsid w:val="00642CB5"/>
    <w:rsid w:val="006437F4"/>
    <w:rsid w:val="0064466A"/>
    <w:rsid w:val="006515B4"/>
    <w:rsid w:val="00652342"/>
    <w:rsid w:val="006536BD"/>
    <w:rsid w:val="00655163"/>
    <w:rsid w:val="00687087"/>
    <w:rsid w:val="00691081"/>
    <w:rsid w:val="00694B11"/>
    <w:rsid w:val="006972C0"/>
    <w:rsid w:val="006A7F27"/>
    <w:rsid w:val="006B0824"/>
    <w:rsid w:val="006B2084"/>
    <w:rsid w:val="006B6CC7"/>
    <w:rsid w:val="006E5208"/>
    <w:rsid w:val="00706150"/>
    <w:rsid w:val="00707994"/>
    <w:rsid w:val="00720BA0"/>
    <w:rsid w:val="0072269E"/>
    <w:rsid w:val="00731F03"/>
    <w:rsid w:val="00741C49"/>
    <w:rsid w:val="00743A94"/>
    <w:rsid w:val="00795548"/>
    <w:rsid w:val="007A0082"/>
    <w:rsid w:val="007A74B1"/>
    <w:rsid w:val="007B189E"/>
    <w:rsid w:val="007B59D1"/>
    <w:rsid w:val="007B679F"/>
    <w:rsid w:val="007D0CFF"/>
    <w:rsid w:val="007E2DCC"/>
    <w:rsid w:val="00801C70"/>
    <w:rsid w:val="00825CE9"/>
    <w:rsid w:val="00836F8E"/>
    <w:rsid w:val="008405EA"/>
    <w:rsid w:val="00841381"/>
    <w:rsid w:val="00853C2E"/>
    <w:rsid w:val="00857C81"/>
    <w:rsid w:val="008764B5"/>
    <w:rsid w:val="00882FCB"/>
    <w:rsid w:val="00885750"/>
    <w:rsid w:val="00886F0C"/>
    <w:rsid w:val="00890443"/>
    <w:rsid w:val="00891830"/>
    <w:rsid w:val="0089190E"/>
    <w:rsid w:val="008979FE"/>
    <w:rsid w:val="008A4224"/>
    <w:rsid w:val="008B155B"/>
    <w:rsid w:val="008B3A52"/>
    <w:rsid w:val="008C0114"/>
    <w:rsid w:val="008C44D3"/>
    <w:rsid w:val="008C5AB0"/>
    <w:rsid w:val="008E0924"/>
    <w:rsid w:val="008E54AD"/>
    <w:rsid w:val="008E730B"/>
    <w:rsid w:val="008F16C4"/>
    <w:rsid w:val="008F1BD7"/>
    <w:rsid w:val="00903495"/>
    <w:rsid w:val="00914020"/>
    <w:rsid w:val="00924550"/>
    <w:rsid w:val="00927308"/>
    <w:rsid w:val="00931026"/>
    <w:rsid w:val="00932CB7"/>
    <w:rsid w:val="00936982"/>
    <w:rsid w:val="00942998"/>
    <w:rsid w:val="009436E0"/>
    <w:rsid w:val="009456E3"/>
    <w:rsid w:val="00970C74"/>
    <w:rsid w:val="0097165A"/>
    <w:rsid w:val="0097553E"/>
    <w:rsid w:val="00977BE7"/>
    <w:rsid w:val="0098143A"/>
    <w:rsid w:val="00981941"/>
    <w:rsid w:val="00982693"/>
    <w:rsid w:val="00991A90"/>
    <w:rsid w:val="009A0E87"/>
    <w:rsid w:val="009A1EB0"/>
    <w:rsid w:val="009A3526"/>
    <w:rsid w:val="009A6F8A"/>
    <w:rsid w:val="009B2C9F"/>
    <w:rsid w:val="009C2675"/>
    <w:rsid w:val="009D2EF1"/>
    <w:rsid w:val="009D3CF7"/>
    <w:rsid w:val="009F01EA"/>
    <w:rsid w:val="009F301A"/>
    <w:rsid w:val="009F7DB9"/>
    <w:rsid w:val="009F7E1C"/>
    <w:rsid w:val="00A01277"/>
    <w:rsid w:val="00A02C34"/>
    <w:rsid w:val="00A346D1"/>
    <w:rsid w:val="00A41710"/>
    <w:rsid w:val="00A50B4D"/>
    <w:rsid w:val="00A52E71"/>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4FF8"/>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D5663"/>
    <w:rsid w:val="00BE22AA"/>
    <w:rsid w:val="00BF2547"/>
    <w:rsid w:val="00BF2A9C"/>
    <w:rsid w:val="00BF5E11"/>
    <w:rsid w:val="00C02974"/>
    <w:rsid w:val="00C122AC"/>
    <w:rsid w:val="00C16815"/>
    <w:rsid w:val="00C536C9"/>
    <w:rsid w:val="00C549B2"/>
    <w:rsid w:val="00C61314"/>
    <w:rsid w:val="00C7314E"/>
    <w:rsid w:val="00C73CB1"/>
    <w:rsid w:val="00C83097"/>
    <w:rsid w:val="00C91CCE"/>
    <w:rsid w:val="00C926CF"/>
    <w:rsid w:val="00C97060"/>
    <w:rsid w:val="00CA0905"/>
    <w:rsid w:val="00CA50B7"/>
    <w:rsid w:val="00CB6B70"/>
    <w:rsid w:val="00CF74FF"/>
    <w:rsid w:val="00D02D48"/>
    <w:rsid w:val="00D05483"/>
    <w:rsid w:val="00D20504"/>
    <w:rsid w:val="00D206CE"/>
    <w:rsid w:val="00D27B5C"/>
    <w:rsid w:val="00D3571D"/>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3BED"/>
    <w:rsid w:val="00E14B59"/>
    <w:rsid w:val="00E269C3"/>
    <w:rsid w:val="00E36DF7"/>
    <w:rsid w:val="00E375F1"/>
    <w:rsid w:val="00E66280"/>
    <w:rsid w:val="00E675C5"/>
    <w:rsid w:val="00E845CF"/>
    <w:rsid w:val="00E91772"/>
    <w:rsid w:val="00EA7C7E"/>
    <w:rsid w:val="00ED4D55"/>
    <w:rsid w:val="00ED788C"/>
    <w:rsid w:val="00EE2B53"/>
    <w:rsid w:val="00F00E57"/>
    <w:rsid w:val="00F03D39"/>
    <w:rsid w:val="00F0652C"/>
    <w:rsid w:val="00F0730E"/>
    <w:rsid w:val="00F12F38"/>
    <w:rsid w:val="00F24D52"/>
    <w:rsid w:val="00F34988"/>
    <w:rsid w:val="00F3670F"/>
    <w:rsid w:val="00F4008A"/>
    <w:rsid w:val="00F45079"/>
    <w:rsid w:val="00F45C5A"/>
    <w:rsid w:val="00F5395E"/>
    <w:rsid w:val="00F5559A"/>
    <w:rsid w:val="00F72967"/>
    <w:rsid w:val="00F73A73"/>
    <w:rsid w:val="00F74E6C"/>
    <w:rsid w:val="00F761C4"/>
    <w:rsid w:val="00F82B7E"/>
    <w:rsid w:val="00F87D9D"/>
    <w:rsid w:val="00F93A2E"/>
    <w:rsid w:val="00F95E09"/>
    <w:rsid w:val="00F963D2"/>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4353185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a@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13</cp:revision>
  <cp:lastPrinted>2022-12-19T17:21:00Z</cp:lastPrinted>
  <dcterms:created xsi:type="dcterms:W3CDTF">2024-03-12T20:36:00Z</dcterms:created>
  <dcterms:modified xsi:type="dcterms:W3CDTF">2024-03-13T18:08:00Z</dcterms:modified>
</cp:coreProperties>
</file>