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83AF7" w14:textId="03C47C2C" w:rsidR="00C7749F" w:rsidRDefault="00313D7F" w:rsidP="00E64561">
      <w:pPr>
        <w:pStyle w:val="Prrafodelista"/>
        <w:spacing w:before="120" w:line="288" w:lineRule="auto"/>
        <w:ind w:left="0" w:right="-1"/>
        <w:contextualSpacing w:val="0"/>
        <w:jc w:val="center"/>
        <w:rPr>
          <w:rFonts w:ascii="Arial" w:eastAsia="Arial" w:hAnsi="Arial" w:cs="Arial"/>
          <w:b/>
          <w:color w:val="000000"/>
          <w:sz w:val="20"/>
          <w:szCs w:val="20"/>
          <w:u w:val="single"/>
        </w:rPr>
      </w:pPr>
      <w:bookmarkStart w:id="0" w:name="_Hlk113557077"/>
      <w:bookmarkStart w:id="1" w:name="_Hlk90222956"/>
      <w:bookmarkStart w:id="2" w:name="_Hlk90207554"/>
      <w:r w:rsidRPr="00F438D4">
        <w:rPr>
          <w:rFonts w:ascii="Arial" w:eastAsia="Arial" w:hAnsi="Arial" w:cs="Arial"/>
          <w:b/>
          <w:color w:val="000000"/>
          <w:sz w:val="20"/>
          <w:szCs w:val="20"/>
          <w:u w:val="single"/>
        </w:rPr>
        <w:t xml:space="preserve">Estudio de Proyección de Empleo de ManpowerGroup para </w:t>
      </w:r>
      <w:r w:rsidR="00E64561" w:rsidRPr="00F438D4">
        <w:rPr>
          <w:rFonts w:ascii="Arial" w:eastAsia="Arial" w:hAnsi="Arial" w:cs="Arial"/>
          <w:b/>
          <w:color w:val="000000"/>
          <w:sz w:val="20"/>
          <w:szCs w:val="20"/>
          <w:u w:val="single"/>
        </w:rPr>
        <w:t>octubre</w:t>
      </w:r>
      <w:r w:rsidRPr="00F438D4">
        <w:rPr>
          <w:rFonts w:ascii="Arial" w:eastAsia="Arial" w:hAnsi="Arial" w:cs="Arial"/>
          <w:b/>
          <w:color w:val="000000"/>
          <w:sz w:val="20"/>
          <w:szCs w:val="20"/>
          <w:u w:val="single"/>
        </w:rPr>
        <w:t>-</w:t>
      </w:r>
      <w:r w:rsidR="00E64561" w:rsidRPr="00F438D4">
        <w:rPr>
          <w:rFonts w:ascii="Arial" w:eastAsia="Arial" w:hAnsi="Arial" w:cs="Arial"/>
          <w:b/>
          <w:color w:val="000000"/>
          <w:sz w:val="20"/>
          <w:szCs w:val="20"/>
          <w:u w:val="single"/>
        </w:rPr>
        <w:t>diciembre</w:t>
      </w:r>
      <w:r w:rsidRPr="00F438D4">
        <w:rPr>
          <w:rFonts w:ascii="Arial" w:eastAsia="Arial" w:hAnsi="Arial" w:cs="Arial"/>
          <w:b/>
          <w:color w:val="000000"/>
          <w:sz w:val="20"/>
          <w:szCs w:val="20"/>
          <w:u w:val="single"/>
        </w:rPr>
        <w:t xml:space="preserve"> 2026</w:t>
      </w:r>
    </w:p>
    <w:p w14:paraId="6A309CAA" w14:textId="77777777" w:rsidR="00F438D4" w:rsidRPr="00F438D4" w:rsidRDefault="00F438D4" w:rsidP="00E64561">
      <w:pPr>
        <w:pStyle w:val="Prrafodelista"/>
        <w:spacing w:before="120" w:line="288" w:lineRule="auto"/>
        <w:ind w:left="0" w:right="-1"/>
        <w:contextualSpacing w:val="0"/>
        <w:jc w:val="center"/>
        <w:rPr>
          <w:rFonts w:ascii="Arial" w:eastAsia="Arial" w:hAnsi="Arial" w:cs="Arial"/>
          <w:b/>
          <w:color w:val="000000"/>
          <w:sz w:val="20"/>
          <w:szCs w:val="20"/>
          <w:u w:val="single"/>
        </w:rPr>
      </w:pPr>
    </w:p>
    <w:p w14:paraId="18FB6CA8" w14:textId="4316DAFF" w:rsidR="00E64561" w:rsidRPr="00F438D4" w:rsidRDefault="00E64561" w:rsidP="00E64561">
      <w:pPr>
        <w:pStyle w:val="Prrafodelista"/>
        <w:spacing w:before="120" w:line="288" w:lineRule="auto"/>
        <w:ind w:left="0" w:right="-1"/>
        <w:contextualSpacing w:val="0"/>
        <w:jc w:val="center"/>
        <w:rPr>
          <w:rFonts w:ascii="Arial" w:eastAsia="Arial" w:hAnsi="Arial" w:cs="Arial"/>
          <w:b/>
          <w:bCs/>
          <w:sz w:val="32"/>
          <w:szCs w:val="32"/>
        </w:rPr>
      </w:pPr>
      <w:r w:rsidRPr="00F438D4">
        <w:rPr>
          <w:rFonts w:ascii="Arial" w:eastAsia="Arial" w:hAnsi="Arial" w:cs="Arial"/>
          <w:b/>
          <w:bCs/>
          <w:sz w:val="32"/>
          <w:szCs w:val="32"/>
        </w:rPr>
        <w:t>Galicia, Asturias y Castilla y León lideran las previsiones de contratación y alcanzan el 28% en el cuarto trimestre</w:t>
      </w:r>
      <w:bookmarkEnd w:id="0"/>
    </w:p>
    <w:p w14:paraId="50B0D919" w14:textId="77777777" w:rsidR="00F438D4" w:rsidRPr="00F438D4" w:rsidRDefault="00F438D4" w:rsidP="00F438D4">
      <w:pPr>
        <w:spacing w:before="120" w:line="288" w:lineRule="auto"/>
        <w:ind w:right="-1"/>
        <w:rPr>
          <w:rFonts w:ascii="Arial" w:eastAsia="Arial" w:hAnsi="Arial" w:cs="Arial"/>
          <w:b/>
          <w:bCs/>
        </w:rPr>
      </w:pPr>
    </w:p>
    <w:p w14:paraId="15A6B7BE" w14:textId="65F70612" w:rsidR="00E64561" w:rsidRPr="00F438D4" w:rsidRDefault="00E64561" w:rsidP="00E64561">
      <w:pPr>
        <w:pStyle w:val="Prrafodelista"/>
        <w:numPr>
          <w:ilvl w:val="0"/>
          <w:numId w:val="9"/>
        </w:numPr>
        <w:spacing w:before="120" w:line="288" w:lineRule="auto"/>
        <w:ind w:right="-1"/>
        <w:contextualSpacing w:val="0"/>
        <w:rPr>
          <w:rFonts w:ascii="Arial" w:eastAsia="Arial" w:hAnsi="Arial" w:cs="Arial"/>
          <w:b/>
          <w:bCs/>
        </w:rPr>
      </w:pPr>
      <w:r w:rsidRPr="00F438D4">
        <w:rPr>
          <w:rFonts w:ascii="Arial" w:eastAsia="Arial" w:hAnsi="Arial" w:cs="Arial"/>
          <w:b/>
          <w:bCs/>
        </w:rPr>
        <w:t>El 43% de las empresas de la zona Noroeste prevé incrementar sus equipos, frente al 15% que estima reducirlos</w:t>
      </w:r>
    </w:p>
    <w:p w14:paraId="363B09E9" w14:textId="40CB4B59" w:rsidR="00426A75" w:rsidRPr="00F438D4" w:rsidRDefault="00E64561" w:rsidP="00E64561">
      <w:pPr>
        <w:pStyle w:val="Prrafodelista"/>
        <w:numPr>
          <w:ilvl w:val="0"/>
          <w:numId w:val="9"/>
        </w:numPr>
        <w:spacing w:before="120" w:line="288" w:lineRule="auto"/>
        <w:ind w:right="-1"/>
        <w:contextualSpacing w:val="0"/>
        <w:rPr>
          <w:rFonts w:ascii="Arial" w:eastAsia="Arial" w:hAnsi="Arial" w:cs="Arial"/>
          <w:b/>
          <w:color w:val="000000"/>
          <w:sz w:val="20"/>
          <w:szCs w:val="20"/>
          <w:u w:val="single"/>
        </w:rPr>
      </w:pPr>
      <w:r w:rsidRPr="00F438D4">
        <w:rPr>
          <w:rFonts w:ascii="Arial" w:eastAsia="Arial" w:hAnsi="Arial" w:cs="Arial"/>
          <w:b/>
          <w:bCs/>
        </w:rPr>
        <w:t>La región lidera el ranking nacional con una Proyección de Empleo del 28%, 10 puntos por encima del trimestre anterior y 15 puntos más que hace un año</w:t>
      </w:r>
    </w:p>
    <w:p w14:paraId="0970668B" w14:textId="77777777" w:rsidR="00F438D4" w:rsidRPr="00F438D4" w:rsidRDefault="00F438D4" w:rsidP="00F438D4">
      <w:pPr>
        <w:spacing w:before="120" w:line="288" w:lineRule="auto"/>
        <w:ind w:right="-1"/>
        <w:rPr>
          <w:rFonts w:ascii="Arial" w:eastAsia="Arial" w:hAnsi="Arial" w:cs="Arial"/>
          <w:b/>
          <w:color w:val="000000"/>
          <w:sz w:val="20"/>
          <w:szCs w:val="20"/>
          <w:u w:val="single"/>
        </w:rPr>
      </w:pPr>
    </w:p>
    <w:p w14:paraId="4FC5C476" w14:textId="4E660983" w:rsidR="00E64561" w:rsidRPr="00F438D4" w:rsidRDefault="006B1E4E" w:rsidP="00E64561">
      <w:pPr>
        <w:spacing w:before="120" w:line="288" w:lineRule="auto"/>
        <w:jc w:val="both"/>
        <w:rPr>
          <w:rFonts w:ascii="Arial" w:eastAsia="Arial" w:hAnsi="Arial" w:cs="Arial"/>
          <w:bCs/>
          <w:sz w:val="22"/>
          <w:szCs w:val="22"/>
        </w:rPr>
      </w:pPr>
      <w:r w:rsidRPr="00F438D4">
        <w:rPr>
          <w:rFonts w:ascii="Arial" w:eastAsia="Arial" w:hAnsi="Arial" w:cs="Arial"/>
          <w:b/>
          <w:sz w:val="22"/>
          <w:szCs w:val="22"/>
        </w:rPr>
        <w:t>Madrid</w:t>
      </w:r>
      <w:r w:rsidR="00DD4B97" w:rsidRPr="00F438D4">
        <w:rPr>
          <w:rFonts w:ascii="Arial" w:eastAsia="Arial" w:hAnsi="Arial" w:cs="Arial"/>
          <w:b/>
          <w:sz w:val="22"/>
          <w:szCs w:val="22"/>
        </w:rPr>
        <w:t xml:space="preserve">, </w:t>
      </w:r>
      <w:r w:rsidR="0008020E">
        <w:rPr>
          <w:rFonts w:ascii="Arial" w:eastAsia="Arial" w:hAnsi="Arial" w:cs="Arial"/>
          <w:b/>
          <w:sz w:val="22"/>
          <w:szCs w:val="22"/>
        </w:rPr>
        <w:t>17</w:t>
      </w:r>
      <w:r w:rsidR="00E34FD5" w:rsidRPr="00F438D4">
        <w:rPr>
          <w:rFonts w:ascii="Arial" w:eastAsia="Arial" w:hAnsi="Arial" w:cs="Arial"/>
          <w:b/>
          <w:sz w:val="22"/>
          <w:szCs w:val="22"/>
        </w:rPr>
        <w:t xml:space="preserve"> </w:t>
      </w:r>
      <w:r w:rsidR="00DD4B97" w:rsidRPr="00F438D4">
        <w:rPr>
          <w:rFonts w:ascii="Arial" w:eastAsia="Arial" w:hAnsi="Arial" w:cs="Arial"/>
          <w:b/>
          <w:sz w:val="22"/>
          <w:szCs w:val="22"/>
        </w:rPr>
        <w:t xml:space="preserve">de </w:t>
      </w:r>
      <w:r w:rsidR="00E64561" w:rsidRPr="00F438D4">
        <w:rPr>
          <w:rFonts w:ascii="Arial" w:eastAsia="Arial" w:hAnsi="Arial" w:cs="Arial"/>
          <w:b/>
          <w:sz w:val="22"/>
          <w:szCs w:val="22"/>
        </w:rPr>
        <w:t>septiembre</w:t>
      </w:r>
      <w:r w:rsidR="002A35D9" w:rsidRPr="00F438D4">
        <w:rPr>
          <w:rFonts w:ascii="Arial" w:eastAsia="Arial" w:hAnsi="Arial" w:cs="Arial"/>
          <w:b/>
          <w:sz w:val="22"/>
          <w:szCs w:val="22"/>
        </w:rPr>
        <w:t xml:space="preserve"> </w:t>
      </w:r>
      <w:r w:rsidR="00DD4B97" w:rsidRPr="00F438D4">
        <w:rPr>
          <w:rFonts w:ascii="Arial" w:eastAsia="Arial" w:hAnsi="Arial" w:cs="Arial"/>
          <w:b/>
          <w:sz w:val="22"/>
          <w:szCs w:val="22"/>
        </w:rPr>
        <w:t>de 202</w:t>
      </w:r>
      <w:r w:rsidR="00834B1A" w:rsidRPr="00F438D4">
        <w:rPr>
          <w:rFonts w:ascii="Arial" w:eastAsia="Arial" w:hAnsi="Arial" w:cs="Arial"/>
          <w:b/>
          <w:sz w:val="22"/>
          <w:szCs w:val="22"/>
        </w:rPr>
        <w:t>6</w:t>
      </w:r>
      <w:r w:rsidR="00DD4B97" w:rsidRPr="00F438D4">
        <w:rPr>
          <w:rFonts w:ascii="Arial" w:eastAsia="Arial" w:hAnsi="Arial" w:cs="Arial"/>
          <w:b/>
          <w:sz w:val="22"/>
          <w:szCs w:val="22"/>
        </w:rPr>
        <w:t>.-</w:t>
      </w:r>
      <w:bookmarkStart w:id="3" w:name="_Hlk113557102"/>
      <w:bookmarkStart w:id="4" w:name="_Hlk90223537"/>
      <w:bookmarkStart w:id="5" w:name="_Hlk89449303"/>
      <w:bookmarkStart w:id="6" w:name="_Hlk89449332"/>
      <w:r w:rsidR="00DD4B97" w:rsidRPr="00F438D4">
        <w:rPr>
          <w:rFonts w:ascii="Arial" w:eastAsia="Arial" w:hAnsi="Arial" w:cs="Arial"/>
          <w:b/>
          <w:sz w:val="22"/>
          <w:szCs w:val="22"/>
        </w:rPr>
        <w:t xml:space="preserve"> </w:t>
      </w:r>
      <w:bookmarkStart w:id="7" w:name="_Hlk137140302"/>
      <w:r w:rsidR="00E64561" w:rsidRPr="00F438D4">
        <w:rPr>
          <w:rFonts w:ascii="Arial" w:eastAsia="Arial" w:hAnsi="Arial" w:cs="Arial"/>
          <w:bCs/>
          <w:sz w:val="22"/>
          <w:szCs w:val="22"/>
        </w:rPr>
        <w:t xml:space="preserve">Las previsiones de contratación para el cuarto trimestre del año sitúan a la zona </w:t>
      </w:r>
      <w:r w:rsidR="00E64561" w:rsidRPr="00F438D4">
        <w:rPr>
          <w:rFonts w:ascii="Arial" w:eastAsia="Arial" w:hAnsi="Arial" w:cs="Arial"/>
          <w:b/>
          <w:bCs/>
          <w:sz w:val="22"/>
          <w:szCs w:val="22"/>
        </w:rPr>
        <w:t>Noroeste (Galicia, Asturias y Castilla y León)</w:t>
      </w:r>
      <w:r w:rsidR="00E64561" w:rsidRPr="00F438D4">
        <w:rPr>
          <w:rFonts w:ascii="Arial" w:eastAsia="Arial" w:hAnsi="Arial" w:cs="Arial"/>
          <w:bCs/>
          <w:sz w:val="22"/>
          <w:szCs w:val="22"/>
        </w:rPr>
        <w:t xml:space="preserve"> como la región con mejores expectativas del país, según el </w:t>
      </w:r>
      <w:r w:rsidR="00E64561" w:rsidRPr="00F438D4">
        <w:rPr>
          <w:rFonts w:ascii="Arial" w:eastAsia="Arial" w:hAnsi="Arial" w:cs="Arial"/>
          <w:b/>
          <w:bCs/>
          <w:sz w:val="22"/>
          <w:szCs w:val="22"/>
        </w:rPr>
        <w:t>Estudio de Proyección de Empleo de ManpowerGroup</w:t>
      </w:r>
      <w:r w:rsidR="00E64561" w:rsidRPr="00F438D4">
        <w:rPr>
          <w:rFonts w:ascii="Arial" w:eastAsia="Arial" w:hAnsi="Arial" w:cs="Arial"/>
          <w:bCs/>
          <w:sz w:val="22"/>
          <w:szCs w:val="22"/>
        </w:rPr>
        <w:t xml:space="preserve">. Con una previsión neta del </w:t>
      </w:r>
      <w:r w:rsidR="00E64561" w:rsidRPr="00F438D4">
        <w:rPr>
          <w:rFonts w:ascii="Arial" w:eastAsia="Arial" w:hAnsi="Arial" w:cs="Arial"/>
          <w:b/>
          <w:bCs/>
          <w:sz w:val="22"/>
          <w:szCs w:val="22"/>
        </w:rPr>
        <w:t>28%</w:t>
      </w:r>
      <w:r w:rsidR="00E64561" w:rsidRPr="00F438D4">
        <w:rPr>
          <w:rFonts w:ascii="Arial" w:eastAsia="Arial" w:hAnsi="Arial" w:cs="Arial"/>
          <w:bCs/>
          <w:sz w:val="22"/>
          <w:szCs w:val="22"/>
        </w:rPr>
        <w:t>, la región se coloca en primera posición del ranking nacional.</w:t>
      </w:r>
    </w:p>
    <w:p w14:paraId="710EB031" w14:textId="77777777" w:rsidR="00E64561" w:rsidRPr="00F438D4" w:rsidRDefault="00E64561" w:rsidP="00E64561">
      <w:pPr>
        <w:spacing w:before="120" w:line="288" w:lineRule="auto"/>
        <w:jc w:val="both"/>
        <w:rPr>
          <w:rFonts w:ascii="Arial" w:eastAsia="Arial" w:hAnsi="Arial" w:cs="Arial"/>
          <w:bCs/>
          <w:sz w:val="22"/>
          <w:szCs w:val="22"/>
        </w:rPr>
      </w:pPr>
      <w:r w:rsidRPr="00F438D4">
        <w:rPr>
          <w:rFonts w:ascii="Arial" w:eastAsia="Arial" w:hAnsi="Arial" w:cs="Arial"/>
          <w:bCs/>
          <w:sz w:val="22"/>
          <w:szCs w:val="22"/>
        </w:rPr>
        <w:t xml:space="preserve">La evolución respecto a periodos anteriores es especialmente destacable. Tras registrar una previsión del 18% en el tercer trimestre, la zona Noroeste experimenta un </w:t>
      </w:r>
      <w:r w:rsidRPr="00F438D4">
        <w:rPr>
          <w:rFonts w:ascii="Arial" w:eastAsia="Arial" w:hAnsi="Arial" w:cs="Arial"/>
          <w:b/>
          <w:bCs/>
          <w:sz w:val="22"/>
          <w:szCs w:val="22"/>
        </w:rPr>
        <w:t>salto de 10 puntos</w:t>
      </w:r>
      <w:r w:rsidRPr="00F438D4">
        <w:rPr>
          <w:rFonts w:ascii="Arial" w:eastAsia="Arial" w:hAnsi="Arial" w:cs="Arial"/>
          <w:bCs/>
          <w:sz w:val="22"/>
          <w:szCs w:val="22"/>
        </w:rPr>
        <w:t xml:space="preserve">. En comparación con el mismo periodo del año anterior, la mejora es aún más significativa: </w:t>
      </w:r>
      <w:r w:rsidRPr="00F438D4">
        <w:rPr>
          <w:rFonts w:ascii="Arial" w:eastAsia="Arial" w:hAnsi="Arial" w:cs="Arial"/>
          <w:b/>
          <w:bCs/>
          <w:sz w:val="22"/>
          <w:szCs w:val="22"/>
        </w:rPr>
        <w:t>15 puntos por encima del 13% registrado en el cuarto trimestre de 2025</w:t>
      </w:r>
      <w:r w:rsidRPr="00F438D4">
        <w:rPr>
          <w:rFonts w:ascii="Arial" w:eastAsia="Arial" w:hAnsi="Arial" w:cs="Arial"/>
          <w:bCs/>
          <w:sz w:val="22"/>
          <w:szCs w:val="22"/>
        </w:rPr>
        <w:t>.</w:t>
      </w:r>
    </w:p>
    <w:p w14:paraId="5B8A3306" w14:textId="54097891" w:rsidR="00E64561" w:rsidRPr="00F438D4" w:rsidRDefault="00E64561" w:rsidP="00E64561">
      <w:pPr>
        <w:spacing w:before="120" w:line="288" w:lineRule="auto"/>
        <w:jc w:val="both"/>
        <w:rPr>
          <w:rFonts w:ascii="Arial" w:eastAsia="Arial" w:hAnsi="Arial" w:cs="Arial"/>
          <w:bCs/>
          <w:sz w:val="22"/>
          <w:szCs w:val="22"/>
        </w:rPr>
      </w:pPr>
      <w:r w:rsidRPr="00F438D4">
        <w:rPr>
          <w:rFonts w:ascii="Arial" w:eastAsia="Arial" w:hAnsi="Arial" w:cs="Arial"/>
          <w:bCs/>
          <w:sz w:val="22"/>
          <w:szCs w:val="22"/>
        </w:rPr>
        <w:t xml:space="preserve">Este buen comportamiento de la zona responde a una expectativa de contratación ampliamente positiva de cara a los meses de octubre a diciembre. El </w:t>
      </w:r>
      <w:r w:rsidRPr="00F438D4">
        <w:rPr>
          <w:rFonts w:ascii="Arial" w:eastAsia="Arial" w:hAnsi="Arial" w:cs="Arial"/>
          <w:b/>
          <w:bCs/>
          <w:sz w:val="22"/>
          <w:szCs w:val="22"/>
        </w:rPr>
        <w:t>43% de las compañías de Galicia, Asturias y Castilla y León prevé aumentar sus plantillas</w:t>
      </w:r>
      <w:r w:rsidRPr="00F438D4">
        <w:rPr>
          <w:rFonts w:ascii="Arial" w:eastAsia="Arial" w:hAnsi="Arial" w:cs="Arial"/>
          <w:bCs/>
          <w:sz w:val="22"/>
          <w:szCs w:val="22"/>
        </w:rPr>
        <w:t>, mientras que un 42% anticipa que las mantendrá sin cambios y solo un 15% contempla una reducción de personal.</w:t>
      </w:r>
    </w:p>
    <w:bookmarkEnd w:id="1"/>
    <w:bookmarkEnd w:id="2"/>
    <w:bookmarkEnd w:id="3"/>
    <w:bookmarkEnd w:id="4"/>
    <w:bookmarkEnd w:id="5"/>
    <w:bookmarkEnd w:id="6"/>
    <w:bookmarkEnd w:id="7"/>
    <w:p w14:paraId="75824EFC" w14:textId="77777777" w:rsidR="00E64561" w:rsidRPr="00F438D4" w:rsidRDefault="00E64561" w:rsidP="00E64561">
      <w:pPr>
        <w:spacing w:before="120" w:line="288" w:lineRule="auto"/>
        <w:rPr>
          <w:rFonts w:ascii="Arial" w:eastAsia="Arial" w:hAnsi="Arial" w:cs="Arial"/>
          <w:b/>
          <w:sz w:val="22"/>
          <w:szCs w:val="22"/>
        </w:rPr>
      </w:pPr>
      <w:r w:rsidRPr="00F438D4">
        <w:rPr>
          <w:rFonts w:ascii="Arial" w:eastAsia="Arial" w:hAnsi="Arial" w:cs="Arial"/>
          <w:b/>
          <w:bCs/>
          <w:sz w:val="22"/>
          <w:szCs w:val="22"/>
        </w:rPr>
        <w:t>El Noroeste lidera el ranking nacional</w:t>
      </w:r>
    </w:p>
    <w:p w14:paraId="1560A54F" w14:textId="77777777" w:rsidR="00E64561" w:rsidRPr="00F438D4" w:rsidRDefault="00E64561" w:rsidP="00E64561">
      <w:pPr>
        <w:spacing w:before="120" w:line="288" w:lineRule="auto"/>
        <w:jc w:val="both"/>
        <w:rPr>
          <w:rFonts w:ascii="Arial" w:eastAsia="Arial" w:hAnsi="Arial" w:cs="Arial"/>
          <w:bCs/>
          <w:sz w:val="22"/>
          <w:szCs w:val="22"/>
        </w:rPr>
      </w:pPr>
      <w:r w:rsidRPr="00F438D4">
        <w:rPr>
          <w:rFonts w:ascii="Arial" w:eastAsia="Arial" w:hAnsi="Arial" w:cs="Arial"/>
          <w:bCs/>
          <w:sz w:val="22"/>
          <w:szCs w:val="22"/>
        </w:rPr>
        <w:t xml:space="preserve">Con estos resultados, la zona </w:t>
      </w:r>
      <w:r w:rsidRPr="00F438D4">
        <w:rPr>
          <w:rFonts w:ascii="Arial" w:eastAsia="Arial" w:hAnsi="Arial" w:cs="Arial"/>
          <w:b/>
          <w:bCs/>
          <w:sz w:val="22"/>
          <w:szCs w:val="22"/>
        </w:rPr>
        <w:t>Noroeste lidera el ranking nacional de previsión de contratación para el cuarto trimestre de 2026</w:t>
      </w:r>
      <w:r w:rsidRPr="00F438D4">
        <w:rPr>
          <w:rFonts w:ascii="Arial" w:eastAsia="Arial" w:hAnsi="Arial" w:cs="Arial"/>
          <w:bCs/>
          <w:sz w:val="22"/>
          <w:szCs w:val="22"/>
        </w:rPr>
        <w:t xml:space="preserve">, con una expectativa del 28%. Por detrás se sitúan </w:t>
      </w:r>
      <w:r w:rsidRPr="00F438D4">
        <w:rPr>
          <w:rFonts w:ascii="Arial" w:eastAsia="Arial" w:hAnsi="Arial" w:cs="Arial"/>
          <w:b/>
          <w:bCs/>
          <w:sz w:val="22"/>
          <w:szCs w:val="22"/>
        </w:rPr>
        <w:t>Noreste (Cataluña y Baleares) y Sur (Extremadura, Andalucía y Canarias)</w:t>
      </w:r>
      <w:r w:rsidRPr="00F438D4">
        <w:rPr>
          <w:rFonts w:ascii="Arial" w:eastAsia="Arial" w:hAnsi="Arial" w:cs="Arial"/>
          <w:bCs/>
          <w:sz w:val="22"/>
          <w:szCs w:val="22"/>
        </w:rPr>
        <w:t xml:space="preserve">, ambas con un 21%, seguidas de </w:t>
      </w:r>
      <w:r w:rsidRPr="00F438D4">
        <w:rPr>
          <w:rFonts w:ascii="Arial" w:eastAsia="Arial" w:hAnsi="Arial" w:cs="Arial"/>
          <w:b/>
          <w:bCs/>
          <w:sz w:val="22"/>
          <w:szCs w:val="22"/>
        </w:rPr>
        <w:t>Centro (Madrid y Castilla-La Mancha)</w:t>
      </w:r>
      <w:r w:rsidRPr="00F438D4">
        <w:rPr>
          <w:rFonts w:ascii="Arial" w:eastAsia="Arial" w:hAnsi="Arial" w:cs="Arial"/>
          <w:bCs/>
          <w:sz w:val="22"/>
          <w:szCs w:val="22"/>
        </w:rPr>
        <w:t>, con un 20%.</w:t>
      </w:r>
    </w:p>
    <w:p w14:paraId="37B28F7B" w14:textId="0DC94C4F" w:rsidR="00E64561" w:rsidRPr="00F438D4" w:rsidRDefault="00E64561" w:rsidP="00E64561">
      <w:pPr>
        <w:spacing w:before="120" w:line="288" w:lineRule="auto"/>
        <w:jc w:val="both"/>
        <w:rPr>
          <w:rFonts w:ascii="Arial" w:eastAsia="Arial" w:hAnsi="Arial" w:cs="Arial"/>
          <w:bCs/>
          <w:sz w:val="22"/>
          <w:szCs w:val="22"/>
        </w:rPr>
      </w:pPr>
      <w:r w:rsidRPr="00F438D4">
        <w:rPr>
          <w:rFonts w:ascii="Arial" w:eastAsia="Arial" w:hAnsi="Arial" w:cs="Arial"/>
          <w:bCs/>
          <w:sz w:val="22"/>
          <w:szCs w:val="22"/>
        </w:rPr>
        <w:t xml:space="preserve">A continuación, se encuentra </w:t>
      </w:r>
      <w:r w:rsidRPr="00F438D4">
        <w:rPr>
          <w:rFonts w:ascii="Arial" w:eastAsia="Arial" w:hAnsi="Arial" w:cs="Arial"/>
          <w:b/>
          <w:bCs/>
          <w:sz w:val="22"/>
          <w:szCs w:val="22"/>
        </w:rPr>
        <w:t>Norte (Aragón, Cantabria, La Rioja, Navarra y País Vasco)</w:t>
      </w:r>
      <w:r w:rsidRPr="00F438D4">
        <w:rPr>
          <w:rFonts w:ascii="Arial" w:eastAsia="Arial" w:hAnsi="Arial" w:cs="Arial"/>
          <w:bCs/>
          <w:sz w:val="22"/>
          <w:szCs w:val="22"/>
        </w:rPr>
        <w:t xml:space="preserve">, con una previsión del 17%, mientras que </w:t>
      </w:r>
      <w:r w:rsidRPr="00F438D4">
        <w:rPr>
          <w:rFonts w:ascii="Arial" w:eastAsia="Arial" w:hAnsi="Arial" w:cs="Arial"/>
          <w:b/>
          <w:bCs/>
          <w:sz w:val="22"/>
          <w:szCs w:val="22"/>
        </w:rPr>
        <w:t>Levante (Comunidad Valenciana y Región de Murcia)</w:t>
      </w:r>
      <w:r w:rsidRPr="00F438D4">
        <w:rPr>
          <w:rFonts w:ascii="Arial" w:eastAsia="Arial" w:hAnsi="Arial" w:cs="Arial"/>
          <w:bCs/>
          <w:sz w:val="22"/>
          <w:szCs w:val="22"/>
        </w:rPr>
        <w:t xml:space="preserve"> registra el dato más bajo del país, con un 5%.</w:t>
      </w:r>
    </w:p>
    <w:p w14:paraId="39D0B2F9" w14:textId="77777777" w:rsidR="00E64561" w:rsidRPr="00F438D4" w:rsidRDefault="00E64561" w:rsidP="00834B1A">
      <w:pPr>
        <w:spacing w:before="120" w:line="288" w:lineRule="auto"/>
        <w:jc w:val="center"/>
        <w:rPr>
          <w:rFonts w:ascii="Arial" w:eastAsia="Arial" w:hAnsi="Arial" w:cs="Arial"/>
          <w:bCs/>
          <w:sz w:val="22"/>
          <w:szCs w:val="22"/>
        </w:rPr>
      </w:pPr>
    </w:p>
    <w:p w14:paraId="2D906B2E" w14:textId="7E811A08" w:rsidR="00834B1A" w:rsidRPr="00F438D4" w:rsidRDefault="00834B1A" w:rsidP="00834B1A">
      <w:pPr>
        <w:spacing w:before="120" w:line="288" w:lineRule="auto"/>
        <w:jc w:val="center"/>
        <w:rPr>
          <w:rFonts w:ascii="Arial" w:eastAsia="Arial" w:hAnsi="Arial" w:cs="Arial"/>
          <w:bCs/>
          <w:sz w:val="22"/>
          <w:szCs w:val="22"/>
        </w:rPr>
      </w:pPr>
      <w:r w:rsidRPr="00F438D4">
        <w:rPr>
          <w:rFonts w:ascii="Arial" w:eastAsia="Arial" w:hAnsi="Arial" w:cs="Arial"/>
          <w:bCs/>
          <w:sz w:val="22"/>
          <w:szCs w:val="22"/>
        </w:rPr>
        <w:t>###</w:t>
      </w:r>
    </w:p>
    <w:p w14:paraId="23725C3F" w14:textId="77777777" w:rsidR="00F03776" w:rsidRPr="00320AB2" w:rsidRDefault="00F03776" w:rsidP="00F03776">
      <w:pPr>
        <w:spacing w:before="120" w:line="288" w:lineRule="auto"/>
        <w:jc w:val="both"/>
        <w:rPr>
          <w:rFonts w:ascii="Arial" w:hAnsi="Arial" w:cs="Arial"/>
          <w:color w:val="808080" w:themeColor="background1" w:themeShade="80"/>
          <w:sz w:val="18"/>
          <w:szCs w:val="18"/>
        </w:rPr>
      </w:pPr>
      <w:r w:rsidRPr="00320AB2">
        <w:rPr>
          <w:rFonts w:ascii="Arial" w:hAnsi="Arial" w:cs="Arial"/>
          <w:b/>
          <w:bCs/>
          <w:color w:val="808080" w:themeColor="background1" w:themeShade="80"/>
          <w:sz w:val="18"/>
          <w:szCs w:val="18"/>
        </w:rPr>
        <w:lastRenderedPageBreak/>
        <w:t xml:space="preserve">Sobre el Estudio de Proyección de Empleo de ManpowerGroup: </w:t>
      </w:r>
      <w:r w:rsidRPr="00320AB2">
        <w:rPr>
          <w:rFonts w:ascii="Arial" w:hAnsi="Arial" w:cs="Arial"/>
          <w:color w:val="808080" w:themeColor="background1" w:themeShade="80"/>
          <w:sz w:val="18"/>
          <w:szCs w:val="18"/>
        </w:rPr>
        <w:t>El Estudio de Proyección de Empleo de ManpowerGroup, utilizado en todo el mundo como indicador económico de referencia, es la encuesta de empleo más exhaustiva de este tipo. La Proyección de Empleo Neto se obtiene tomando el porcentaje de empresas que prevén un incremento de la contratación y restando el porcentaje de aquellas que esperan una reducción. El estudio</w:t>
      </w:r>
      <w:r>
        <w:rPr>
          <w:rFonts w:ascii="Arial" w:hAnsi="Arial" w:cs="Arial"/>
          <w:color w:val="808080" w:themeColor="background1" w:themeShade="80"/>
          <w:sz w:val="18"/>
          <w:szCs w:val="18"/>
        </w:rPr>
        <w:t xml:space="preserve"> </w:t>
      </w:r>
      <w:r w:rsidRPr="00320AB2">
        <w:rPr>
          <w:rFonts w:ascii="Arial" w:hAnsi="Arial" w:cs="Arial"/>
          <w:color w:val="808080" w:themeColor="background1" w:themeShade="80"/>
          <w:sz w:val="18"/>
          <w:szCs w:val="18"/>
        </w:rPr>
        <w:t>se realiza desde 1962.</w:t>
      </w:r>
    </w:p>
    <w:p w14:paraId="7549AE1B" w14:textId="77777777" w:rsidR="00F03776" w:rsidRPr="00320AB2" w:rsidRDefault="00F03776" w:rsidP="00F03776">
      <w:pPr>
        <w:spacing w:before="120" w:line="288" w:lineRule="auto"/>
        <w:jc w:val="both"/>
        <w:rPr>
          <w:rFonts w:ascii="Arial" w:hAnsi="Arial" w:cs="Arial"/>
          <w:color w:val="808080" w:themeColor="background1" w:themeShade="80"/>
          <w:sz w:val="18"/>
          <w:szCs w:val="18"/>
        </w:rPr>
      </w:pPr>
      <w:r w:rsidRPr="00320AB2">
        <w:rPr>
          <w:rFonts w:ascii="Arial" w:hAnsi="Arial" w:cs="Arial"/>
          <w:color w:val="808080" w:themeColor="background1" w:themeShade="80"/>
          <w:sz w:val="18"/>
          <w:szCs w:val="18"/>
        </w:rPr>
        <w:t xml:space="preserve">Los datos correspondientes al </w:t>
      </w:r>
      <w:r>
        <w:rPr>
          <w:rFonts w:ascii="Arial" w:hAnsi="Arial" w:cs="Arial"/>
          <w:color w:val="808080" w:themeColor="background1" w:themeShade="80"/>
          <w:sz w:val="18"/>
          <w:szCs w:val="18"/>
        </w:rPr>
        <w:t xml:space="preserve">cuarto </w:t>
      </w:r>
      <w:r w:rsidRPr="00320AB2">
        <w:rPr>
          <w:rFonts w:ascii="Arial" w:hAnsi="Arial" w:cs="Arial"/>
          <w:color w:val="808080" w:themeColor="background1" w:themeShade="80"/>
          <w:sz w:val="18"/>
          <w:szCs w:val="18"/>
        </w:rPr>
        <w:t>trimestre se recopilaron entre el 1 y el 31 de julio de 2026. Los resultados reflejan la percepción de las empresas en el momento de la recogida de datos y pueden no incorporar el impacto potencial de acontecimientos posteriores. El tamaño de las empresas y los sectores se estandariza en todos los países para facilitar comparaciones internacionales.</w:t>
      </w:r>
    </w:p>
    <w:p w14:paraId="5D129FAD" w14:textId="77777777" w:rsidR="00A91994" w:rsidRPr="00F438D4" w:rsidRDefault="00A91994" w:rsidP="00A91994">
      <w:pPr>
        <w:jc w:val="both"/>
        <w:rPr>
          <w:rFonts w:ascii="Arial" w:hAnsi="Arial" w:cs="Arial"/>
          <w:b/>
          <w:bCs/>
          <w:sz w:val="16"/>
          <w:szCs w:val="16"/>
        </w:rPr>
      </w:pPr>
    </w:p>
    <w:p w14:paraId="2E848DF5" w14:textId="77777777" w:rsidR="00A91994" w:rsidRPr="00F438D4" w:rsidRDefault="00A91994" w:rsidP="00A91994">
      <w:pPr>
        <w:jc w:val="both"/>
        <w:rPr>
          <w:rFonts w:ascii="Arial" w:hAnsi="Arial" w:cs="Arial"/>
          <w:b/>
          <w:bCs/>
          <w:sz w:val="16"/>
          <w:szCs w:val="16"/>
        </w:rPr>
      </w:pPr>
    </w:p>
    <w:p w14:paraId="2E46CF3D" w14:textId="77777777" w:rsidR="00A91994" w:rsidRPr="00F438D4" w:rsidRDefault="00A91994" w:rsidP="00A91994">
      <w:pPr>
        <w:jc w:val="both"/>
        <w:rPr>
          <w:rFonts w:ascii="Arial" w:hAnsi="Arial" w:cs="Arial"/>
          <w:b/>
          <w:bCs/>
          <w:sz w:val="16"/>
          <w:szCs w:val="16"/>
        </w:rPr>
      </w:pPr>
    </w:p>
    <w:p w14:paraId="6D892BD4" w14:textId="77777777" w:rsidR="00A91994" w:rsidRPr="00F438D4" w:rsidRDefault="00A91994" w:rsidP="00A91994">
      <w:pPr>
        <w:tabs>
          <w:tab w:val="right" w:pos="8838"/>
        </w:tabs>
        <w:autoSpaceDE w:val="0"/>
        <w:autoSpaceDN w:val="0"/>
        <w:adjustRightInd w:val="0"/>
        <w:jc w:val="both"/>
        <w:rPr>
          <w:rFonts w:ascii="Arial" w:hAnsi="Arial" w:cs="Arial"/>
          <w:b/>
          <w:bCs/>
          <w:sz w:val="16"/>
          <w:szCs w:val="16"/>
        </w:rPr>
      </w:pPr>
      <w:r w:rsidRPr="00F438D4">
        <w:rPr>
          <w:rFonts w:ascii="Arial" w:hAnsi="Arial" w:cs="Arial"/>
          <w:b/>
          <w:bCs/>
          <w:sz w:val="16"/>
          <w:szCs w:val="16"/>
        </w:rPr>
        <w:t>ManpowerGroup</w:t>
      </w:r>
    </w:p>
    <w:p w14:paraId="42634798" w14:textId="77777777" w:rsidR="00A91994" w:rsidRPr="00F438D4" w:rsidRDefault="00A91994" w:rsidP="00A91994">
      <w:pPr>
        <w:tabs>
          <w:tab w:val="right" w:pos="8838"/>
        </w:tabs>
        <w:autoSpaceDE w:val="0"/>
        <w:autoSpaceDN w:val="0"/>
        <w:adjustRightInd w:val="0"/>
        <w:jc w:val="both"/>
        <w:rPr>
          <w:rFonts w:ascii="Arial" w:hAnsi="Arial" w:cs="Arial"/>
          <w:sz w:val="16"/>
          <w:szCs w:val="16"/>
        </w:rPr>
      </w:pPr>
      <w:r w:rsidRPr="00F438D4">
        <w:rPr>
          <w:rFonts w:ascii="Arial" w:hAnsi="Arial" w:cs="Arial"/>
          <w:sz w:val="16"/>
          <w:szCs w:val="16"/>
        </w:rPr>
        <w:t>ManpowerGroup 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Experis y Talent Solutions), aporta valor a candidatos y clientes en más de 75 países, como lleva haciendo durante más de 75 años. Además, sus políticas de diversidad, inclusión e igualdad y sus buenas prácticas de negocio son reconocidas por multitud de organizaciones.</w:t>
      </w:r>
    </w:p>
    <w:p w14:paraId="75BE7B7D" w14:textId="77777777" w:rsidR="00A91994" w:rsidRPr="00F438D4" w:rsidRDefault="00A91994" w:rsidP="00A91994">
      <w:pPr>
        <w:tabs>
          <w:tab w:val="right" w:pos="8838"/>
        </w:tabs>
        <w:autoSpaceDE w:val="0"/>
        <w:autoSpaceDN w:val="0"/>
        <w:adjustRightInd w:val="0"/>
        <w:jc w:val="both"/>
        <w:rPr>
          <w:rFonts w:ascii="Arial" w:hAnsi="Arial" w:cs="Arial"/>
          <w:sz w:val="16"/>
          <w:szCs w:val="16"/>
        </w:rPr>
      </w:pPr>
      <w:r w:rsidRPr="00F438D4">
        <w:rPr>
          <w:rFonts w:ascii="Arial" w:hAnsi="Arial" w:cs="Arial"/>
          <w:sz w:val="16"/>
          <w:szCs w:val="16"/>
        </w:rPr>
        <w:t xml:space="preserve">Más información en </w:t>
      </w:r>
      <w:hyperlink r:id="rId8" w:history="1">
        <w:r w:rsidRPr="00F438D4">
          <w:rPr>
            <w:rStyle w:val="Hipervnculo"/>
            <w:rFonts w:ascii="Arial" w:hAnsi="Arial" w:cs="Arial"/>
            <w:sz w:val="16"/>
            <w:szCs w:val="16"/>
          </w:rPr>
          <w:t>www.manpowergroup.es</w:t>
        </w:r>
      </w:hyperlink>
      <w:r w:rsidRPr="00F438D4">
        <w:rPr>
          <w:rFonts w:ascii="Arial" w:hAnsi="Arial" w:cs="Arial"/>
          <w:sz w:val="16"/>
          <w:szCs w:val="16"/>
        </w:rPr>
        <w:t>.</w:t>
      </w:r>
    </w:p>
    <w:p w14:paraId="2794727B" w14:textId="77777777" w:rsidR="00A91994" w:rsidRPr="00F438D4" w:rsidRDefault="00A91994" w:rsidP="00A91994">
      <w:pPr>
        <w:tabs>
          <w:tab w:val="right" w:pos="8838"/>
        </w:tabs>
        <w:autoSpaceDE w:val="0"/>
        <w:autoSpaceDN w:val="0"/>
        <w:adjustRightInd w:val="0"/>
        <w:jc w:val="both"/>
        <w:rPr>
          <w:rFonts w:ascii="Arial" w:hAnsi="Arial" w:cs="Arial"/>
          <w:sz w:val="16"/>
          <w:szCs w:val="16"/>
        </w:rPr>
      </w:pPr>
    </w:p>
    <w:p w14:paraId="04F8AD22" w14:textId="77777777" w:rsidR="00A91994" w:rsidRPr="00F438D4" w:rsidRDefault="00A91994" w:rsidP="00A91994">
      <w:pPr>
        <w:tabs>
          <w:tab w:val="right" w:pos="8838"/>
        </w:tabs>
        <w:autoSpaceDE w:val="0"/>
        <w:autoSpaceDN w:val="0"/>
        <w:adjustRightInd w:val="0"/>
        <w:jc w:val="both"/>
        <w:rPr>
          <w:rFonts w:ascii="Arial" w:hAnsi="Arial" w:cs="Arial"/>
          <w:sz w:val="16"/>
          <w:szCs w:val="16"/>
        </w:rPr>
      </w:pPr>
    </w:p>
    <w:p w14:paraId="531699AA" w14:textId="77777777" w:rsidR="00A91994" w:rsidRPr="00F438D4" w:rsidRDefault="00A91994" w:rsidP="00A91994">
      <w:pPr>
        <w:tabs>
          <w:tab w:val="right" w:pos="8838"/>
        </w:tabs>
        <w:autoSpaceDE w:val="0"/>
        <w:autoSpaceDN w:val="0"/>
        <w:adjustRightInd w:val="0"/>
        <w:jc w:val="both"/>
        <w:rPr>
          <w:rFonts w:ascii="Arial" w:hAnsi="Arial" w:cs="Arial"/>
          <w:sz w:val="16"/>
          <w:szCs w:val="16"/>
        </w:rPr>
      </w:pPr>
    </w:p>
    <w:p w14:paraId="2511DDF6" w14:textId="77777777" w:rsidR="00A91994" w:rsidRPr="00F438D4" w:rsidRDefault="00A91994" w:rsidP="00A91994">
      <w:pPr>
        <w:tabs>
          <w:tab w:val="right" w:pos="8838"/>
        </w:tabs>
        <w:autoSpaceDE w:val="0"/>
        <w:autoSpaceDN w:val="0"/>
        <w:adjustRightInd w:val="0"/>
        <w:jc w:val="both"/>
        <w:rPr>
          <w:rFonts w:ascii="Arial" w:hAnsi="Arial" w:cs="Arial"/>
          <w:b/>
          <w:bCs/>
          <w:sz w:val="16"/>
          <w:szCs w:val="16"/>
        </w:rPr>
      </w:pPr>
      <w:r w:rsidRPr="00F438D4">
        <w:rPr>
          <w:rFonts w:ascii="Arial" w:hAnsi="Arial" w:cs="Arial"/>
          <w:b/>
          <w:bCs/>
          <w:sz w:val="16"/>
          <w:szCs w:val="16"/>
        </w:rPr>
        <w:t>Para más información:</w:t>
      </w:r>
    </w:p>
    <w:tbl>
      <w:tblPr>
        <w:tblW w:w="8948" w:type="dxa"/>
        <w:tblLayout w:type="fixed"/>
        <w:tblLook w:val="04A0" w:firstRow="1" w:lastRow="0" w:firstColumn="1" w:lastColumn="0" w:noHBand="0" w:noVBand="1"/>
      </w:tblPr>
      <w:tblGrid>
        <w:gridCol w:w="3686"/>
        <w:gridCol w:w="2234"/>
        <w:gridCol w:w="3028"/>
      </w:tblGrid>
      <w:tr w:rsidR="00A91994" w:rsidRPr="00F438D4" w14:paraId="463E5476" w14:textId="77777777" w:rsidTr="00F5173D">
        <w:trPr>
          <w:trHeight w:val="1159"/>
        </w:trPr>
        <w:tc>
          <w:tcPr>
            <w:tcW w:w="3686" w:type="dxa"/>
            <w:hideMark/>
          </w:tcPr>
          <w:p w14:paraId="397CD99E" w14:textId="77777777" w:rsidR="00A91994" w:rsidRPr="00F438D4" w:rsidRDefault="00A91994" w:rsidP="00F5173D">
            <w:pPr>
              <w:pStyle w:val="NormalWeb"/>
              <w:spacing w:before="0" w:beforeAutospacing="0" w:after="0" w:afterAutospacing="0"/>
              <w:jc w:val="both"/>
              <w:rPr>
                <w:rStyle w:val="Hipervnculo"/>
                <w:rFonts w:ascii="Arial" w:eastAsia="MS Mincho" w:hAnsi="Arial" w:cs="Arial"/>
                <w:sz w:val="16"/>
                <w:szCs w:val="16"/>
              </w:rPr>
            </w:pPr>
            <w:bookmarkStart w:id="8" w:name="_Hlk90207537"/>
            <w:r w:rsidRPr="00F438D4">
              <w:rPr>
                <w:rFonts w:ascii="Arial" w:hAnsi="Arial" w:cs="Arial"/>
                <w:color w:val="000000"/>
                <w:sz w:val="16"/>
                <w:szCs w:val="16"/>
                <w:u w:val="single"/>
              </w:rPr>
              <w:t>Agencia de comunicación Havas PR</w:t>
            </w:r>
          </w:p>
          <w:p w14:paraId="05B56588" w14:textId="77777777" w:rsidR="00A91994" w:rsidRPr="00F438D4" w:rsidRDefault="00A91994" w:rsidP="00F5173D">
            <w:pPr>
              <w:pStyle w:val="NormalWeb"/>
              <w:spacing w:before="0" w:beforeAutospacing="0" w:after="0" w:afterAutospacing="0"/>
              <w:rPr>
                <w:rFonts w:ascii="Arial" w:hAnsi="Arial" w:cs="Arial"/>
                <w:color w:val="000000"/>
                <w:sz w:val="16"/>
                <w:szCs w:val="16"/>
              </w:rPr>
            </w:pPr>
            <w:hyperlink r:id="rId9" w:history="1">
              <w:r w:rsidRPr="00F438D4">
                <w:rPr>
                  <w:rStyle w:val="Hipervnculo"/>
                  <w:rFonts w:ascii="Arial" w:hAnsi="Arial" w:cs="Arial"/>
                  <w:b/>
                  <w:bCs/>
                  <w:sz w:val="16"/>
                  <w:szCs w:val="16"/>
                </w:rPr>
                <w:t>comunicación.manpowergroup@havas.com</w:t>
              </w:r>
            </w:hyperlink>
            <w:r w:rsidRPr="00F438D4">
              <w:rPr>
                <w:rFonts w:ascii="Arial" w:hAnsi="Arial" w:cs="Arial"/>
                <w:b/>
                <w:bCs/>
                <w:color w:val="000000"/>
                <w:sz w:val="16"/>
                <w:szCs w:val="16"/>
              </w:rPr>
              <w:t xml:space="preserve"> </w:t>
            </w:r>
          </w:p>
          <w:p w14:paraId="1B04D1CC" w14:textId="77777777" w:rsidR="00A91994" w:rsidRPr="00F438D4" w:rsidRDefault="00A91994" w:rsidP="00F5173D">
            <w:pPr>
              <w:jc w:val="both"/>
              <w:outlineLvl w:val="0"/>
              <w:rPr>
                <w:rFonts w:ascii="Arial" w:hAnsi="Arial" w:cs="Arial"/>
                <w:b/>
                <w:sz w:val="16"/>
                <w:szCs w:val="16"/>
                <w:lang w:val="ca-ES"/>
              </w:rPr>
            </w:pPr>
          </w:p>
        </w:tc>
        <w:tc>
          <w:tcPr>
            <w:tcW w:w="2234" w:type="dxa"/>
          </w:tcPr>
          <w:p w14:paraId="22F14C36" w14:textId="77777777" w:rsidR="00A91994" w:rsidRPr="00F438D4" w:rsidRDefault="00A91994" w:rsidP="00F5173D">
            <w:pPr>
              <w:jc w:val="both"/>
              <w:rPr>
                <w:rFonts w:ascii="Arial" w:hAnsi="Arial" w:cs="Arial"/>
                <w:sz w:val="16"/>
                <w:szCs w:val="16"/>
                <w:lang w:val="ca-ES"/>
              </w:rPr>
            </w:pPr>
          </w:p>
        </w:tc>
        <w:tc>
          <w:tcPr>
            <w:tcW w:w="3028" w:type="dxa"/>
          </w:tcPr>
          <w:p w14:paraId="1E0589F0" w14:textId="77777777" w:rsidR="00A91994" w:rsidRPr="00F438D4" w:rsidRDefault="00A91994" w:rsidP="00F5173D">
            <w:pPr>
              <w:jc w:val="both"/>
              <w:outlineLvl w:val="0"/>
              <w:rPr>
                <w:rFonts w:ascii="Arial" w:hAnsi="Arial" w:cs="Arial"/>
                <w:b/>
                <w:sz w:val="16"/>
                <w:szCs w:val="16"/>
              </w:rPr>
            </w:pPr>
            <w:r w:rsidRPr="00F438D4">
              <w:rPr>
                <w:rFonts w:ascii="Arial" w:hAnsi="Arial" w:cs="Arial"/>
                <w:b/>
                <w:sz w:val="16"/>
                <w:szCs w:val="16"/>
              </w:rPr>
              <w:t>ManpowerGroup</w:t>
            </w:r>
          </w:p>
          <w:p w14:paraId="55897941" w14:textId="77777777" w:rsidR="00A91994" w:rsidRPr="00F438D4" w:rsidRDefault="00A91994" w:rsidP="00F5173D">
            <w:pPr>
              <w:jc w:val="both"/>
              <w:outlineLvl w:val="0"/>
              <w:rPr>
                <w:rFonts w:ascii="Arial" w:hAnsi="Arial" w:cs="Arial"/>
                <w:sz w:val="16"/>
                <w:szCs w:val="16"/>
              </w:rPr>
            </w:pPr>
            <w:r w:rsidRPr="00F438D4">
              <w:rPr>
                <w:rFonts w:ascii="Arial" w:hAnsi="Arial" w:cs="Arial"/>
                <w:sz w:val="16"/>
                <w:szCs w:val="16"/>
              </w:rPr>
              <w:t>Dpto. Comunicación</w:t>
            </w:r>
          </w:p>
          <w:p w14:paraId="15FD8DE1" w14:textId="77777777" w:rsidR="00A91994" w:rsidRPr="00F438D4" w:rsidRDefault="00A91994" w:rsidP="00F5173D">
            <w:pPr>
              <w:jc w:val="both"/>
              <w:rPr>
                <w:rFonts w:ascii="Arial" w:hAnsi="Arial" w:cs="Arial"/>
                <w:sz w:val="16"/>
                <w:szCs w:val="16"/>
              </w:rPr>
            </w:pPr>
            <w:r w:rsidRPr="00F438D4">
              <w:rPr>
                <w:rFonts w:ascii="Arial" w:hAnsi="Arial" w:cs="Arial"/>
                <w:sz w:val="16"/>
                <w:szCs w:val="16"/>
              </w:rPr>
              <w:t xml:space="preserve">Gala Díaz Curiel </w:t>
            </w:r>
          </w:p>
          <w:p w14:paraId="3B38AD5B" w14:textId="77777777" w:rsidR="00A91994" w:rsidRPr="00F438D4" w:rsidRDefault="00A91994" w:rsidP="00F5173D">
            <w:pPr>
              <w:jc w:val="both"/>
              <w:rPr>
                <w:rFonts w:ascii="Arial" w:hAnsi="Arial" w:cs="Arial"/>
                <w:sz w:val="16"/>
                <w:szCs w:val="16"/>
              </w:rPr>
            </w:pPr>
            <w:r w:rsidRPr="00F438D4">
              <w:rPr>
                <w:rFonts w:ascii="Arial" w:hAnsi="Arial" w:cs="Arial"/>
                <w:sz w:val="16"/>
                <w:szCs w:val="16"/>
              </w:rPr>
              <w:t>607 35 33 49</w:t>
            </w:r>
          </w:p>
          <w:p w14:paraId="085F53E1" w14:textId="77777777" w:rsidR="00A91994" w:rsidRPr="00F438D4" w:rsidRDefault="00A91994" w:rsidP="00F5173D">
            <w:pPr>
              <w:jc w:val="both"/>
              <w:rPr>
                <w:rFonts w:ascii="Arial" w:hAnsi="Arial" w:cs="Arial"/>
                <w:sz w:val="16"/>
                <w:szCs w:val="16"/>
                <w:u w:val="single"/>
              </w:rPr>
            </w:pPr>
            <w:hyperlink r:id="rId10" w:history="1">
              <w:r w:rsidRPr="00F438D4">
                <w:rPr>
                  <w:rStyle w:val="Hipervnculo"/>
                  <w:rFonts w:ascii="Arial" w:hAnsi="Arial" w:cs="Arial"/>
                  <w:sz w:val="16"/>
                  <w:szCs w:val="16"/>
                </w:rPr>
                <w:t>gala.diaz@manpowergroup.es</w:t>
              </w:r>
            </w:hyperlink>
          </w:p>
          <w:p w14:paraId="4C218DB8" w14:textId="77777777" w:rsidR="00A91994" w:rsidRPr="00F438D4" w:rsidRDefault="00A91994" w:rsidP="00F5173D">
            <w:pPr>
              <w:jc w:val="both"/>
              <w:rPr>
                <w:rFonts w:ascii="Arial" w:hAnsi="Arial" w:cs="Arial"/>
                <w:sz w:val="16"/>
                <w:szCs w:val="16"/>
              </w:rPr>
            </w:pPr>
          </w:p>
          <w:p w14:paraId="3E46A16A" w14:textId="77777777" w:rsidR="00A91994" w:rsidRPr="00F438D4" w:rsidRDefault="00A91994" w:rsidP="00F5173D">
            <w:pPr>
              <w:jc w:val="both"/>
              <w:rPr>
                <w:rFonts w:ascii="Arial" w:hAnsi="Arial" w:cs="Arial"/>
                <w:sz w:val="16"/>
                <w:szCs w:val="16"/>
              </w:rPr>
            </w:pPr>
            <w:r w:rsidRPr="00F438D4">
              <w:rPr>
                <w:rFonts w:ascii="Arial" w:hAnsi="Arial" w:cs="Arial"/>
                <w:sz w:val="16"/>
                <w:szCs w:val="16"/>
              </w:rPr>
              <w:t>Juan Gómez Rodríguez</w:t>
            </w:r>
          </w:p>
          <w:p w14:paraId="36AB239E" w14:textId="77777777" w:rsidR="00A91994" w:rsidRPr="00F438D4" w:rsidRDefault="00A91994" w:rsidP="00F5173D">
            <w:pPr>
              <w:jc w:val="both"/>
              <w:rPr>
                <w:rFonts w:ascii="Arial" w:hAnsi="Arial" w:cs="Arial"/>
                <w:sz w:val="16"/>
                <w:szCs w:val="16"/>
                <w:lang w:val="de-DE"/>
              </w:rPr>
            </w:pPr>
            <w:r w:rsidRPr="00F438D4">
              <w:rPr>
                <w:rFonts w:ascii="Arial" w:hAnsi="Arial" w:cs="Arial"/>
                <w:sz w:val="16"/>
                <w:szCs w:val="16"/>
                <w:lang w:val="de-DE"/>
              </w:rPr>
              <w:t>Tel. 687 51 96 90</w:t>
            </w:r>
          </w:p>
          <w:p w14:paraId="5E824282" w14:textId="77777777" w:rsidR="00A91994" w:rsidRPr="00F438D4" w:rsidRDefault="00A91994" w:rsidP="00F5173D">
            <w:pPr>
              <w:jc w:val="both"/>
              <w:rPr>
                <w:rFonts w:ascii="Arial" w:hAnsi="Arial" w:cs="Arial"/>
                <w:sz w:val="16"/>
                <w:szCs w:val="16"/>
                <w:lang w:val="de-DE"/>
              </w:rPr>
            </w:pPr>
            <w:hyperlink r:id="rId11" w:history="1">
              <w:r w:rsidRPr="00F438D4">
                <w:rPr>
                  <w:rStyle w:val="Hipervnculo"/>
                  <w:rFonts w:ascii="Arial" w:hAnsi="Arial" w:cs="Arial"/>
                  <w:sz w:val="16"/>
                  <w:szCs w:val="16"/>
                  <w:lang w:val="de-DE"/>
                </w:rPr>
                <w:t>juan.gomez@manpowergroup.es</w:t>
              </w:r>
            </w:hyperlink>
          </w:p>
        </w:tc>
      </w:tr>
      <w:bookmarkEnd w:id="8"/>
    </w:tbl>
    <w:p w14:paraId="603B0789" w14:textId="77777777" w:rsidR="00A91994" w:rsidRPr="00F438D4" w:rsidRDefault="00A91994" w:rsidP="00A849D6">
      <w:pPr>
        <w:tabs>
          <w:tab w:val="right" w:pos="8838"/>
        </w:tabs>
        <w:autoSpaceDE w:val="0"/>
        <w:autoSpaceDN w:val="0"/>
        <w:adjustRightInd w:val="0"/>
        <w:jc w:val="both"/>
        <w:rPr>
          <w:rFonts w:ascii="Arial" w:hAnsi="Arial" w:cs="Arial"/>
          <w:b/>
          <w:bCs/>
          <w:sz w:val="16"/>
          <w:szCs w:val="16"/>
          <w:lang w:val="de-DE"/>
        </w:rPr>
      </w:pPr>
    </w:p>
    <w:sectPr w:rsidR="00A91994" w:rsidRPr="00F438D4" w:rsidSect="00313D7F">
      <w:headerReference w:type="default" r:id="rId12"/>
      <w:footerReference w:type="even" r:id="rId13"/>
      <w:footerReference w:type="default" r:id="rId14"/>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EE4EB" w14:textId="77777777" w:rsidR="003C311C" w:rsidRDefault="003C311C">
      <w:r>
        <w:separator/>
      </w:r>
    </w:p>
  </w:endnote>
  <w:endnote w:type="continuationSeparator" w:id="0">
    <w:p w14:paraId="2B49DC4A" w14:textId="77777777" w:rsidR="003C311C" w:rsidRDefault="003C3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40C25DF7" w:rsidR="003B09CB" w:rsidRDefault="00346E05" w:rsidP="00F01B9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313D7F">
      <w:rPr>
        <w:rStyle w:val="Nmerodepgina"/>
        <w:noProof/>
      </w:rPr>
      <w:t>2</w:t>
    </w:r>
    <w:r>
      <w:rPr>
        <w:rStyle w:val="Nmerodepgina"/>
      </w:rPr>
      <w:fldChar w:fldCharType="end"/>
    </w:r>
  </w:p>
  <w:p w14:paraId="15552DA8" w14:textId="77777777" w:rsidR="003B09CB" w:rsidRDefault="003B09CB" w:rsidP="003E26F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3B09CB" w:rsidRDefault="003B09CB" w:rsidP="006479E0">
    <w:pPr>
      <w:pStyle w:val="Piedepgina"/>
      <w:ind w:right="360"/>
    </w:pPr>
  </w:p>
  <w:p w14:paraId="23873518" w14:textId="77777777" w:rsidR="003B09CB" w:rsidRDefault="00346E05" w:rsidP="002815E4">
    <w:pPr>
      <w:pStyle w:val="Piedepgina"/>
      <w:ind w:right="360"/>
      <w:jc w:val="center"/>
    </w:pPr>
    <w:r w:rsidRPr="00F31039">
      <w:rPr>
        <w:rFonts w:ascii="Arial" w:hAnsi="Arial" w:cs="Arial"/>
        <w:noProof/>
        <w:color w:val="444444"/>
        <w:sz w:val="23"/>
        <w:szCs w:val="23"/>
      </w:rPr>
      <w:drawing>
        <wp:inline distT="0" distB="0" distL="0" distR="0" wp14:anchorId="256AEACC" wp14:editId="11BE4DCF">
          <wp:extent cx="5410200" cy="685800"/>
          <wp:effectExtent l="0" t="0" r="0" b="0"/>
          <wp:docPr id="2" name="Imagen 34" descr="200416 pie_email_reconocimientos_600_CAST-2020_p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200416 pie_email_reconocimientos_600_CAST-2020_psd"/>
                  <pic:cNvPicPr>
                    <a:picLocks noChangeAspect="1" noChangeArrowheads="1"/>
                  </pic:cNvPicPr>
                </pic:nvPicPr>
                <pic:blipFill>
                  <a:blip r:embed="rId1">
                    <a:extLst>
                      <a:ext uri="{28A0092B-C50C-407E-A947-70E740481C1C}">
                        <a14:useLocalDpi xmlns:a14="http://schemas.microsoft.com/office/drawing/2010/main" val="0"/>
                      </a:ext>
                    </a:extLst>
                  </a:blip>
                  <a:srcRect r="-204" b="71667"/>
                  <a:stretch>
                    <a:fillRect/>
                  </a:stretch>
                </pic:blipFill>
                <pic:spPr bwMode="auto">
                  <a:xfrm>
                    <a:off x="0" y="0"/>
                    <a:ext cx="5410200" cy="6858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6C604" w14:textId="77777777" w:rsidR="003C311C" w:rsidRDefault="003C311C">
      <w:r>
        <w:separator/>
      </w:r>
    </w:p>
  </w:footnote>
  <w:footnote w:type="continuationSeparator" w:id="0">
    <w:p w14:paraId="2C381805" w14:textId="77777777" w:rsidR="003C311C" w:rsidRDefault="003C3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9E71C99" w:rsidR="003B09CB" w:rsidRDefault="00313D7F" w:rsidP="00F34829">
    <w:pPr>
      <w:pStyle w:val="Encabezado"/>
      <w:rPr>
        <w:rFonts w:ascii="Verdana" w:hAnsi="Verdana"/>
        <w:noProof/>
        <w:color w:val="616161"/>
        <w:sz w:val="14"/>
        <w:szCs w:val="14"/>
      </w:rPr>
    </w:pPr>
    <w:r w:rsidRPr="009C6E19">
      <w:rPr>
        <w:rFonts w:ascii="Verdana" w:hAnsi="Verdana"/>
        <w:noProof/>
        <w:color w:val="616161"/>
        <w:sz w:val="14"/>
        <w:szCs w:val="14"/>
      </w:rPr>
      <w:drawing>
        <wp:inline distT="0" distB="0" distL="0" distR="0" wp14:anchorId="2240E915" wp14:editId="2F3A99C1">
          <wp:extent cx="1276350" cy="645024"/>
          <wp:effectExtent l="0" t="0" r="0" b="0"/>
          <wp:docPr id="9" name="Imagen 8" descr="Imagen que contiene interior, computer, computadora, tabla&#10;&#10;El contenido generado por IA puede ser incorrecto.">
            <a:extLst xmlns:a="http://schemas.openxmlformats.org/drawingml/2006/main">
              <a:ext uri="{FF2B5EF4-FFF2-40B4-BE49-F238E27FC236}">
                <a16:creationId xmlns:a16="http://schemas.microsoft.com/office/drawing/2014/main" id="{C519F803-7F59-48E3-ADDB-CB9C21B328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interior, computer, computadora, tabla&#10;&#10;El contenido generado por IA puede ser incorrecto.">
                    <a:extLst>
                      <a:ext uri="{FF2B5EF4-FFF2-40B4-BE49-F238E27FC236}">
                        <a16:creationId xmlns:a16="http://schemas.microsoft.com/office/drawing/2014/main" id="{C519F803-7F59-48E3-ADDB-CB9C21B32890}"/>
                      </a:ext>
                    </a:extLst>
                  </pic:cNvPr>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1284794" cy="649291"/>
                  </a:xfrm>
                  <a:prstGeom prst="rect">
                    <a:avLst/>
                  </a:prstGeom>
                </pic:spPr>
              </pic:pic>
            </a:graphicData>
          </a:graphic>
        </wp:inline>
      </w:drawing>
    </w:r>
    <w:r w:rsidR="00882FCB">
      <w:rPr>
        <w:noProof/>
      </w:rPr>
      <w:drawing>
        <wp:anchor distT="0" distB="0" distL="114300" distR="114300" simplePos="0" relativeHeight="251659264" behindDoc="0" locked="0" layoutInCell="1" allowOverlap="1" wp14:anchorId="311DCD64" wp14:editId="5144930C">
          <wp:simplePos x="0" y="0"/>
          <wp:positionH relativeFrom="column">
            <wp:posOffset>4511675</wp:posOffset>
          </wp:positionH>
          <wp:positionV relativeFrom="paragraph">
            <wp:posOffset>-9525</wp:posOffset>
          </wp:positionV>
          <wp:extent cx="1022350" cy="552450"/>
          <wp:effectExtent l="0" t="0" r="635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022350" cy="55245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02A3E"/>
    <w:multiLevelType w:val="hybridMultilevel"/>
    <w:tmpl w:val="82322A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3D967AF"/>
    <w:multiLevelType w:val="hybridMultilevel"/>
    <w:tmpl w:val="D39EEBF6"/>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EB5706"/>
    <w:multiLevelType w:val="hybridMultilevel"/>
    <w:tmpl w:val="6E5093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6"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1"/>
  </w:num>
  <w:num w:numId="2" w16cid:durableId="1342783302">
    <w:abstractNumId w:val="5"/>
  </w:num>
  <w:num w:numId="3" w16cid:durableId="305208792">
    <w:abstractNumId w:val="4"/>
  </w:num>
  <w:num w:numId="4" w16cid:durableId="126244196">
    <w:abstractNumId w:val="2"/>
  </w:num>
  <w:num w:numId="5" w16cid:durableId="1245341768">
    <w:abstractNumId w:val="7"/>
  </w:num>
  <w:num w:numId="6" w16cid:durableId="597829097">
    <w:abstractNumId w:val="6"/>
  </w:num>
  <w:num w:numId="7" w16cid:durableId="395126067">
    <w:abstractNumId w:val="1"/>
  </w:num>
  <w:num w:numId="8" w16cid:durableId="1344937715">
    <w:abstractNumId w:val="0"/>
  </w:num>
  <w:num w:numId="9" w16cid:durableId="1707637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6233"/>
    <w:rsid w:val="000074CA"/>
    <w:rsid w:val="000101F6"/>
    <w:rsid w:val="00012535"/>
    <w:rsid w:val="0001254E"/>
    <w:rsid w:val="00017815"/>
    <w:rsid w:val="00021D85"/>
    <w:rsid w:val="00024665"/>
    <w:rsid w:val="0002514B"/>
    <w:rsid w:val="000258CF"/>
    <w:rsid w:val="00027C5D"/>
    <w:rsid w:val="00031E9D"/>
    <w:rsid w:val="00042488"/>
    <w:rsid w:val="00057E37"/>
    <w:rsid w:val="000624D0"/>
    <w:rsid w:val="00063579"/>
    <w:rsid w:val="0006407D"/>
    <w:rsid w:val="00066C14"/>
    <w:rsid w:val="00077311"/>
    <w:rsid w:val="0008020E"/>
    <w:rsid w:val="000869A2"/>
    <w:rsid w:val="00086E18"/>
    <w:rsid w:val="000906C2"/>
    <w:rsid w:val="00090758"/>
    <w:rsid w:val="00095B8E"/>
    <w:rsid w:val="000A1973"/>
    <w:rsid w:val="000D0148"/>
    <w:rsid w:val="000D2B5A"/>
    <w:rsid w:val="000D6BCE"/>
    <w:rsid w:val="000E71B3"/>
    <w:rsid w:val="000E76B8"/>
    <w:rsid w:val="000F1600"/>
    <w:rsid w:val="00101502"/>
    <w:rsid w:val="0011037D"/>
    <w:rsid w:val="00115E82"/>
    <w:rsid w:val="00120F92"/>
    <w:rsid w:val="0012170F"/>
    <w:rsid w:val="00122E68"/>
    <w:rsid w:val="00123015"/>
    <w:rsid w:val="00124DEA"/>
    <w:rsid w:val="0012502C"/>
    <w:rsid w:val="0012624A"/>
    <w:rsid w:val="001324E2"/>
    <w:rsid w:val="00132B7B"/>
    <w:rsid w:val="00133FA1"/>
    <w:rsid w:val="00134075"/>
    <w:rsid w:val="00137C4E"/>
    <w:rsid w:val="00137D8E"/>
    <w:rsid w:val="00142E26"/>
    <w:rsid w:val="00157558"/>
    <w:rsid w:val="00165F7C"/>
    <w:rsid w:val="00166189"/>
    <w:rsid w:val="0017076E"/>
    <w:rsid w:val="001741E5"/>
    <w:rsid w:val="00176074"/>
    <w:rsid w:val="00181155"/>
    <w:rsid w:val="00183B91"/>
    <w:rsid w:val="0018572B"/>
    <w:rsid w:val="00186814"/>
    <w:rsid w:val="00190390"/>
    <w:rsid w:val="0019152E"/>
    <w:rsid w:val="00197210"/>
    <w:rsid w:val="001A2A76"/>
    <w:rsid w:val="001B13C9"/>
    <w:rsid w:val="001B18D2"/>
    <w:rsid w:val="001B2737"/>
    <w:rsid w:val="001B39AD"/>
    <w:rsid w:val="001D0197"/>
    <w:rsid w:val="002059D2"/>
    <w:rsid w:val="00212129"/>
    <w:rsid w:val="002246BA"/>
    <w:rsid w:val="00226CF7"/>
    <w:rsid w:val="00230E56"/>
    <w:rsid w:val="002331A8"/>
    <w:rsid w:val="00237511"/>
    <w:rsid w:val="00240CF6"/>
    <w:rsid w:val="0024317A"/>
    <w:rsid w:val="00275B27"/>
    <w:rsid w:val="002870C7"/>
    <w:rsid w:val="0029128B"/>
    <w:rsid w:val="00294475"/>
    <w:rsid w:val="002A097A"/>
    <w:rsid w:val="002A1736"/>
    <w:rsid w:val="002A35D9"/>
    <w:rsid w:val="002A3D92"/>
    <w:rsid w:val="002B3F52"/>
    <w:rsid w:val="002B461A"/>
    <w:rsid w:val="002C02D9"/>
    <w:rsid w:val="002D032D"/>
    <w:rsid w:val="002D69D8"/>
    <w:rsid w:val="002D6A9C"/>
    <w:rsid w:val="002E289B"/>
    <w:rsid w:val="002E29BB"/>
    <w:rsid w:val="002F04D0"/>
    <w:rsid w:val="002F3CF7"/>
    <w:rsid w:val="003019C9"/>
    <w:rsid w:val="00303BEE"/>
    <w:rsid w:val="0031261F"/>
    <w:rsid w:val="00313D7F"/>
    <w:rsid w:val="0032424C"/>
    <w:rsid w:val="00326125"/>
    <w:rsid w:val="00332D02"/>
    <w:rsid w:val="00337FD2"/>
    <w:rsid w:val="00344595"/>
    <w:rsid w:val="0034621D"/>
    <w:rsid w:val="00346E05"/>
    <w:rsid w:val="003470C8"/>
    <w:rsid w:val="003509A5"/>
    <w:rsid w:val="0035236D"/>
    <w:rsid w:val="00356679"/>
    <w:rsid w:val="00357D6E"/>
    <w:rsid w:val="00363D6A"/>
    <w:rsid w:val="003805D3"/>
    <w:rsid w:val="0038103A"/>
    <w:rsid w:val="00383F58"/>
    <w:rsid w:val="0039039D"/>
    <w:rsid w:val="00393767"/>
    <w:rsid w:val="003A214F"/>
    <w:rsid w:val="003A2B29"/>
    <w:rsid w:val="003B09CB"/>
    <w:rsid w:val="003C311C"/>
    <w:rsid w:val="003C3B71"/>
    <w:rsid w:val="003C5FF2"/>
    <w:rsid w:val="003D0E85"/>
    <w:rsid w:val="003D4F9E"/>
    <w:rsid w:val="003D7EDE"/>
    <w:rsid w:val="003E08D8"/>
    <w:rsid w:val="003E70B2"/>
    <w:rsid w:val="003F03FF"/>
    <w:rsid w:val="003F40DD"/>
    <w:rsid w:val="00401FD2"/>
    <w:rsid w:val="00407AD8"/>
    <w:rsid w:val="0041402C"/>
    <w:rsid w:val="004162DB"/>
    <w:rsid w:val="00416931"/>
    <w:rsid w:val="00416FD0"/>
    <w:rsid w:val="00426A75"/>
    <w:rsid w:val="00430602"/>
    <w:rsid w:val="00432DEB"/>
    <w:rsid w:val="0044035B"/>
    <w:rsid w:val="00441AA5"/>
    <w:rsid w:val="004510D0"/>
    <w:rsid w:val="004612C2"/>
    <w:rsid w:val="00466751"/>
    <w:rsid w:val="00472C55"/>
    <w:rsid w:val="00473109"/>
    <w:rsid w:val="00492F25"/>
    <w:rsid w:val="00494ED4"/>
    <w:rsid w:val="00497689"/>
    <w:rsid w:val="004B596E"/>
    <w:rsid w:val="004C0F40"/>
    <w:rsid w:val="004C2618"/>
    <w:rsid w:val="004C607E"/>
    <w:rsid w:val="004C7CAC"/>
    <w:rsid w:val="004D1FAF"/>
    <w:rsid w:val="004D2152"/>
    <w:rsid w:val="004D7F17"/>
    <w:rsid w:val="004E23C4"/>
    <w:rsid w:val="004E4E30"/>
    <w:rsid w:val="004F52B5"/>
    <w:rsid w:val="004F67EC"/>
    <w:rsid w:val="00511BED"/>
    <w:rsid w:val="00512001"/>
    <w:rsid w:val="00512ACD"/>
    <w:rsid w:val="00514ECB"/>
    <w:rsid w:val="00515D51"/>
    <w:rsid w:val="005201CA"/>
    <w:rsid w:val="005209A4"/>
    <w:rsid w:val="00522EF0"/>
    <w:rsid w:val="00527688"/>
    <w:rsid w:val="00541A7B"/>
    <w:rsid w:val="00561B53"/>
    <w:rsid w:val="0057357A"/>
    <w:rsid w:val="00576DDF"/>
    <w:rsid w:val="00577B92"/>
    <w:rsid w:val="00583013"/>
    <w:rsid w:val="005838B1"/>
    <w:rsid w:val="00583FFC"/>
    <w:rsid w:val="00590163"/>
    <w:rsid w:val="005939CD"/>
    <w:rsid w:val="0059455F"/>
    <w:rsid w:val="00596187"/>
    <w:rsid w:val="005A44F4"/>
    <w:rsid w:val="005A7DB1"/>
    <w:rsid w:val="005A7E9C"/>
    <w:rsid w:val="005C1E72"/>
    <w:rsid w:val="005C33ED"/>
    <w:rsid w:val="005D17CE"/>
    <w:rsid w:val="005D1AE9"/>
    <w:rsid w:val="005D3441"/>
    <w:rsid w:val="005D5DC2"/>
    <w:rsid w:val="005E4173"/>
    <w:rsid w:val="005F0582"/>
    <w:rsid w:val="005F1509"/>
    <w:rsid w:val="005F1CEB"/>
    <w:rsid w:val="00601B68"/>
    <w:rsid w:val="00623311"/>
    <w:rsid w:val="00624FC4"/>
    <w:rsid w:val="00625BEE"/>
    <w:rsid w:val="006269AA"/>
    <w:rsid w:val="00635FD7"/>
    <w:rsid w:val="00636A81"/>
    <w:rsid w:val="0064137C"/>
    <w:rsid w:val="00642CB5"/>
    <w:rsid w:val="0064466A"/>
    <w:rsid w:val="006457DD"/>
    <w:rsid w:val="00647EAE"/>
    <w:rsid w:val="00647F0C"/>
    <w:rsid w:val="006515B4"/>
    <w:rsid w:val="00652342"/>
    <w:rsid w:val="006529A1"/>
    <w:rsid w:val="006536BD"/>
    <w:rsid w:val="00655163"/>
    <w:rsid w:val="00667620"/>
    <w:rsid w:val="00670360"/>
    <w:rsid w:val="00672D23"/>
    <w:rsid w:val="00681150"/>
    <w:rsid w:val="00684842"/>
    <w:rsid w:val="00687087"/>
    <w:rsid w:val="00687FF4"/>
    <w:rsid w:val="00691081"/>
    <w:rsid w:val="00694B11"/>
    <w:rsid w:val="006972C0"/>
    <w:rsid w:val="006A3B58"/>
    <w:rsid w:val="006A7F27"/>
    <w:rsid w:val="006B0824"/>
    <w:rsid w:val="006B1E4E"/>
    <w:rsid w:val="006B2084"/>
    <w:rsid w:val="006B6CC7"/>
    <w:rsid w:val="006B7C80"/>
    <w:rsid w:val="006E5208"/>
    <w:rsid w:val="006E70FD"/>
    <w:rsid w:val="006F15C2"/>
    <w:rsid w:val="00720BA0"/>
    <w:rsid w:val="0072269E"/>
    <w:rsid w:val="0072504F"/>
    <w:rsid w:val="00731F03"/>
    <w:rsid w:val="00741C49"/>
    <w:rsid w:val="00743A94"/>
    <w:rsid w:val="00790840"/>
    <w:rsid w:val="00795548"/>
    <w:rsid w:val="007A0082"/>
    <w:rsid w:val="007A2ED4"/>
    <w:rsid w:val="007A44FE"/>
    <w:rsid w:val="007A74B1"/>
    <w:rsid w:val="007B189E"/>
    <w:rsid w:val="007B59D1"/>
    <w:rsid w:val="007B679F"/>
    <w:rsid w:val="007D0CFF"/>
    <w:rsid w:val="007E2DCC"/>
    <w:rsid w:val="007E5902"/>
    <w:rsid w:val="00800E31"/>
    <w:rsid w:val="00801C70"/>
    <w:rsid w:val="00802887"/>
    <w:rsid w:val="00806B24"/>
    <w:rsid w:val="00816DBD"/>
    <w:rsid w:val="0082150F"/>
    <w:rsid w:val="00825CE9"/>
    <w:rsid w:val="00834B1A"/>
    <w:rsid w:val="00836F8E"/>
    <w:rsid w:val="008405EA"/>
    <w:rsid w:val="00841381"/>
    <w:rsid w:val="00853C2E"/>
    <w:rsid w:val="00857C81"/>
    <w:rsid w:val="00863159"/>
    <w:rsid w:val="00870654"/>
    <w:rsid w:val="008764B5"/>
    <w:rsid w:val="00877E43"/>
    <w:rsid w:val="00882FCB"/>
    <w:rsid w:val="00885750"/>
    <w:rsid w:val="00886F0C"/>
    <w:rsid w:val="00890443"/>
    <w:rsid w:val="00891830"/>
    <w:rsid w:val="0089190E"/>
    <w:rsid w:val="008979FE"/>
    <w:rsid w:val="008A4224"/>
    <w:rsid w:val="008B058D"/>
    <w:rsid w:val="008B155B"/>
    <w:rsid w:val="008B3A52"/>
    <w:rsid w:val="008C0114"/>
    <w:rsid w:val="008C44D3"/>
    <w:rsid w:val="008C5AB0"/>
    <w:rsid w:val="008E0924"/>
    <w:rsid w:val="008E54AD"/>
    <w:rsid w:val="008E730B"/>
    <w:rsid w:val="008F16C4"/>
    <w:rsid w:val="008F1BD7"/>
    <w:rsid w:val="00903495"/>
    <w:rsid w:val="009108D7"/>
    <w:rsid w:val="00914020"/>
    <w:rsid w:val="00924550"/>
    <w:rsid w:val="00927308"/>
    <w:rsid w:val="00931026"/>
    <w:rsid w:val="00932CB7"/>
    <w:rsid w:val="00935A0F"/>
    <w:rsid w:val="00936982"/>
    <w:rsid w:val="00942998"/>
    <w:rsid w:val="009436E0"/>
    <w:rsid w:val="009456E3"/>
    <w:rsid w:val="00970C74"/>
    <w:rsid w:val="0097165A"/>
    <w:rsid w:val="00973591"/>
    <w:rsid w:val="0097553E"/>
    <w:rsid w:val="00977BE7"/>
    <w:rsid w:val="0098143A"/>
    <w:rsid w:val="00981941"/>
    <w:rsid w:val="00982693"/>
    <w:rsid w:val="00991A90"/>
    <w:rsid w:val="00991B23"/>
    <w:rsid w:val="009A0E87"/>
    <w:rsid w:val="009A1EB0"/>
    <w:rsid w:val="009A3526"/>
    <w:rsid w:val="009A6F8A"/>
    <w:rsid w:val="009B2C9F"/>
    <w:rsid w:val="009B5CB3"/>
    <w:rsid w:val="009B6413"/>
    <w:rsid w:val="009C2675"/>
    <w:rsid w:val="009C5487"/>
    <w:rsid w:val="009D2EF1"/>
    <w:rsid w:val="009D3CF7"/>
    <w:rsid w:val="009E182B"/>
    <w:rsid w:val="009F01EA"/>
    <w:rsid w:val="009F301A"/>
    <w:rsid w:val="009F7DB9"/>
    <w:rsid w:val="009F7E1C"/>
    <w:rsid w:val="00A01277"/>
    <w:rsid w:val="00A02C34"/>
    <w:rsid w:val="00A07523"/>
    <w:rsid w:val="00A14429"/>
    <w:rsid w:val="00A217C0"/>
    <w:rsid w:val="00A333EF"/>
    <w:rsid w:val="00A346D1"/>
    <w:rsid w:val="00A34A0D"/>
    <w:rsid w:val="00A370A6"/>
    <w:rsid w:val="00A41710"/>
    <w:rsid w:val="00A4329A"/>
    <w:rsid w:val="00A50B4D"/>
    <w:rsid w:val="00A52E71"/>
    <w:rsid w:val="00A53958"/>
    <w:rsid w:val="00A54B87"/>
    <w:rsid w:val="00A56426"/>
    <w:rsid w:val="00A574BF"/>
    <w:rsid w:val="00A7208B"/>
    <w:rsid w:val="00A7358B"/>
    <w:rsid w:val="00A75968"/>
    <w:rsid w:val="00A81170"/>
    <w:rsid w:val="00A849D6"/>
    <w:rsid w:val="00A84DE6"/>
    <w:rsid w:val="00A91994"/>
    <w:rsid w:val="00AB1882"/>
    <w:rsid w:val="00AB24A2"/>
    <w:rsid w:val="00AE0726"/>
    <w:rsid w:val="00AE4F56"/>
    <w:rsid w:val="00AF11D7"/>
    <w:rsid w:val="00AF2C8A"/>
    <w:rsid w:val="00AF735D"/>
    <w:rsid w:val="00B03009"/>
    <w:rsid w:val="00B05CD9"/>
    <w:rsid w:val="00B05D48"/>
    <w:rsid w:val="00B116AF"/>
    <w:rsid w:val="00B14FF8"/>
    <w:rsid w:val="00B179B5"/>
    <w:rsid w:val="00B20EF4"/>
    <w:rsid w:val="00B22902"/>
    <w:rsid w:val="00B2389C"/>
    <w:rsid w:val="00B32DA9"/>
    <w:rsid w:val="00B336BE"/>
    <w:rsid w:val="00B501D2"/>
    <w:rsid w:val="00B5158D"/>
    <w:rsid w:val="00B543B0"/>
    <w:rsid w:val="00B54B12"/>
    <w:rsid w:val="00B60986"/>
    <w:rsid w:val="00B628EE"/>
    <w:rsid w:val="00B63389"/>
    <w:rsid w:val="00B8069B"/>
    <w:rsid w:val="00B87F8E"/>
    <w:rsid w:val="00B963B2"/>
    <w:rsid w:val="00B963D0"/>
    <w:rsid w:val="00BB0D43"/>
    <w:rsid w:val="00BB1160"/>
    <w:rsid w:val="00BB39D9"/>
    <w:rsid w:val="00BB66B8"/>
    <w:rsid w:val="00BC15E4"/>
    <w:rsid w:val="00BC45B7"/>
    <w:rsid w:val="00BC46BE"/>
    <w:rsid w:val="00BC6414"/>
    <w:rsid w:val="00BD1314"/>
    <w:rsid w:val="00BD2B48"/>
    <w:rsid w:val="00BD2DC5"/>
    <w:rsid w:val="00BE1AB4"/>
    <w:rsid w:val="00BE22AA"/>
    <w:rsid w:val="00BF2547"/>
    <w:rsid w:val="00BF2A9C"/>
    <w:rsid w:val="00BF4727"/>
    <w:rsid w:val="00BF5E11"/>
    <w:rsid w:val="00BF63AA"/>
    <w:rsid w:val="00C02974"/>
    <w:rsid w:val="00C078EB"/>
    <w:rsid w:val="00C32B70"/>
    <w:rsid w:val="00C45421"/>
    <w:rsid w:val="00C536C9"/>
    <w:rsid w:val="00C549B2"/>
    <w:rsid w:val="00C61314"/>
    <w:rsid w:val="00C67BC0"/>
    <w:rsid w:val="00C7106A"/>
    <w:rsid w:val="00C7314E"/>
    <w:rsid w:val="00C73CB1"/>
    <w:rsid w:val="00C7749F"/>
    <w:rsid w:val="00C77E17"/>
    <w:rsid w:val="00C83097"/>
    <w:rsid w:val="00C91CCE"/>
    <w:rsid w:val="00C926CF"/>
    <w:rsid w:val="00C97060"/>
    <w:rsid w:val="00CA0048"/>
    <w:rsid w:val="00CA0905"/>
    <w:rsid w:val="00CA11A7"/>
    <w:rsid w:val="00CA50B7"/>
    <w:rsid w:val="00CB6B70"/>
    <w:rsid w:val="00CC2C2C"/>
    <w:rsid w:val="00CF74FF"/>
    <w:rsid w:val="00D02D48"/>
    <w:rsid w:val="00D05483"/>
    <w:rsid w:val="00D1186C"/>
    <w:rsid w:val="00D126FE"/>
    <w:rsid w:val="00D206CE"/>
    <w:rsid w:val="00D24DF3"/>
    <w:rsid w:val="00D27B5C"/>
    <w:rsid w:val="00D34192"/>
    <w:rsid w:val="00D3571D"/>
    <w:rsid w:val="00D51BD7"/>
    <w:rsid w:val="00D60D3E"/>
    <w:rsid w:val="00D63AB2"/>
    <w:rsid w:val="00D64482"/>
    <w:rsid w:val="00D73001"/>
    <w:rsid w:val="00D7641E"/>
    <w:rsid w:val="00D7786F"/>
    <w:rsid w:val="00D77927"/>
    <w:rsid w:val="00D865AD"/>
    <w:rsid w:val="00D86A42"/>
    <w:rsid w:val="00D90EF8"/>
    <w:rsid w:val="00D92B75"/>
    <w:rsid w:val="00DA3C46"/>
    <w:rsid w:val="00DB0F1B"/>
    <w:rsid w:val="00DB2B86"/>
    <w:rsid w:val="00DB45BA"/>
    <w:rsid w:val="00DB5EEF"/>
    <w:rsid w:val="00DB7261"/>
    <w:rsid w:val="00DC304A"/>
    <w:rsid w:val="00DC6709"/>
    <w:rsid w:val="00DD4B97"/>
    <w:rsid w:val="00DD53A1"/>
    <w:rsid w:val="00DD6F7C"/>
    <w:rsid w:val="00DE381F"/>
    <w:rsid w:val="00DE502B"/>
    <w:rsid w:val="00DF417F"/>
    <w:rsid w:val="00DF4C04"/>
    <w:rsid w:val="00DF6943"/>
    <w:rsid w:val="00E000CC"/>
    <w:rsid w:val="00E075EA"/>
    <w:rsid w:val="00E10601"/>
    <w:rsid w:val="00E13BED"/>
    <w:rsid w:val="00E14B59"/>
    <w:rsid w:val="00E269C3"/>
    <w:rsid w:val="00E27306"/>
    <w:rsid w:val="00E34FD5"/>
    <w:rsid w:val="00E36DF7"/>
    <w:rsid w:val="00E375F1"/>
    <w:rsid w:val="00E567B2"/>
    <w:rsid w:val="00E64561"/>
    <w:rsid w:val="00E645BB"/>
    <w:rsid w:val="00E66280"/>
    <w:rsid w:val="00E675C5"/>
    <w:rsid w:val="00E83434"/>
    <w:rsid w:val="00E845CF"/>
    <w:rsid w:val="00E91772"/>
    <w:rsid w:val="00E93393"/>
    <w:rsid w:val="00E97116"/>
    <w:rsid w:val="00EA4028"/>
    <w:rsid w:val="00EA7C7E"/>
    <w:rsid w:val="00EB273E"/>
    <w:rsid w:val="00EC2A5A"/>
    <w:rsid w:val="00ED4D55"/>
    <w:rsid w:val="00ED788C"/>
    <w:rsid w:val="00EE2B53"/>
    <w:rsid w:val="00EF0679"/>
    <w:rsid w:val="00F00E57"/>
    <w:rsid w:val="00F03776"/>
    <w:rsid w:val="00F03D39"/>
    <w:rsid w:val="00F0652C"/>
    <w:rsid w:val="00F0712F"/>
    <w:rsid w:val="00F0730E"/>
    <w:rsid w:val="00F11EAC"/>
    <w:rsid w:val="00F12F38"/>
    <w:rsid w:val="00F14FF2"/>
    <w:rsid w:val="00F24D52"/>
    <w:rsid w:val="00F34988"/>
    <w:rsid w:val="00F3670F"/>
    <w:rsid w:val="00F36DD1"/>
    <w:rsid w:val="00F4008A"/>
    <w:rsid w:val="00F438D4"/>
    <w:rsid w:val="00F45079"/>
    <w:rsid w:val="00F45C5A"/>
    <w:rsid w:val="00F5395E"/>
    <w:rsid w:val="00F5559A"/>
    <w:rsid w:val="00F72967"/>
    <w:rsid w:val="00F73A73"/>
    <w:rsid w:val="00F74E6C"/>
    <w:rsid w:val="00F761C4"/>
    <w:rsid w:val="00F82C86"/>
    <w:rsid w:val="00F870C7"/>
    <w:rsid w:val="00F87D9D"/>
    <w:rsid w:val="00F925A8"/>
    <w:rsid w:val="00F93A2E"/>
    <w:rsid w:val="00F95E09"/>
    <w:rsid w:val="00F963D2"/>
    <w:rsid w:val="00FA4F86"/>
    <w:rsid w:val="00FB561C"/>
    <w:rsid w:val="00FB69D7"/>
    <w:rsid w:val="00FB6F79"/>
    <w:rsid w:val="00FC00F6"/>
    <w:rsid w:val="00FC3937"/>
    <w:rsid w:val="00FC68F5"/>
    <w:rsid w:val="00FC7D4B"/>
    <w:rsid w:val="00FF00F2"/>
    <w:rsid w:val="00FF1C0C"/>
    <w:rsid w:val="00FF4E9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48C9D"/>
  <w15:docId w15:val="{7DDD9A2E-80FF-48E5-B051-4631A5D0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uiPriority w:val="34"/>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z-Principiodelformulario">
    <w:name w:val="HTML Top of Form"/>
    <w:basedOn w:val="Normal"/>
    <w:next w:val="Normal"/>
    <w:link w:val="z-PrincipiodelformularioCar"/>
    <w:hidden/>
    <w:uiPriority w:val="99"/>
    <w:semiHidden/>
    <w:unhideWhenUsed/>
    <w:rsid w:val="00123015"/>
    <w:pPr>
      <w:pBdr>
        <w:bottom w:val="single" w:sz="6" w:space="1" w:color="auto"/>
      </w:pBdr>
      <w:jc w:val="center"/>
    </w:pPr>
    <w:rPr>
      <w:rFonts w:ascii="Arial" w:eastAsia="Times New Roman"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123015"/>
    <w:rPr>
      <w:rFonts w:ascii="Arial" w:eastAsia="Times New Roman" w:hAnsi="Arial" w:cs="Arial"/>
      <w:vanish/>
      <w:sz w:val="16"/>
      <w:szCs w:val="16"/>
      <w:lang w:eastAsia="es-ES"/>
    </w:rPr>
  </w:style>
  <w:style w:type="paragraph" w:styleId="Revisin">
    <w:name w:val="Revision"/>
    <w:hidden/>
    <w:uiPriority w:val="99"/>
    <w:semiHidden/>
    <w:rsid w:val="0019152E"/>
    <w:pPr>
      <w:spacing w:after="0" w:line="240" w:lineRule="auto"/>
    </w:pPr>
    <w:rPr>
      <w:rFonts w:ascii="Times New Roman" w:eastAsia="MS Mincho" w:hAnsi="Times New Roman" w:cs="Times New Roman"/>
      <w:sz w:val="24"/>
      <w:szCs w:val="24"/>
      <w:lang w:eastAsia="es-ES"/>
    </w:rPr>
  </w:style>
  <w:style w:type="paragraph" w:styleId="Asuntodelcomentario">
    <w:name w:val="annotation subject"/>
    <w:basedOn w:val="Textocomentario"/>
    <w:next w:val="Textocomentario"/>
    <w:link w:val="AsuntodelcomentarioCar"/>
    <w:uiPriority w:val="99"/>
    <w:semiHidden/>
    <w:unhideWhenUsed/>
    <w:rsid w:val="005D17CE"/>
    <w:rPr>
      <w:b/>
      <w:bCs/>
      <w:lang w:eastAsia="es-ES"/>
    </w:rPr>
  </w:style>
  <w:style w:type="character" w:customStyle="1" w:styleId="AsuntodelcomentarioCar">
    <w:name w:val="Asunto del comentario Car"/>
    <w:basedOn w:val="TextocomentarioCar"/>
    <w:link w:val="Asuntodelcomentario"/>
    <w:uiPriority w:val="99"/>
    <w:semiHidden/>
    <w:rsid w:val="005D17CE"/>
    <w:rPr>
      <w:rFonts w:ascii="Times New Roman" w:eastAsia="MS Mincho" w:hAnsi="Times New Roman" w:cs="Times New Roman"/>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44977708">
      <w:bodyDiv w:val="1"/>
      <w:marLeft w:val="0"/>
      <w:marRight w:val="0"/>
      <w:marTop w:val="0"/>
      <w:marBottom w:val="0"/>
      <w:divBdr>
        <w:top w:val="none" w:sz="0" w:space="0" w:color="auto"/>
        <w:left w:val="none" w:sz="0" w:space="0" w:color="auto"/>
        <w:bottom w:val="none" w:sz="0" w:space="0" w:color="auto"/>
        <w:right w:val="none" w:sz="0" w:space="0" w:color="auto"/>
      </w:divBdr>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366108966">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57455238">
      <w:bodyDiv w:val="1"/>
      <w:marLeft w:val="0"/>
      <w:marRight w:val="0"/>
      <w:marTop w:val="0"/>
      <w:marBottom w:val="0"/>
      <w:divBdr>
        <w:top w:val="none" w:sz="0" w:space="0" w:color="auto"/>
        <w:left w:val="none" w:sz="0" w:space="0" w:color="auto"/>
        <w:bottom w:val="none" w:sz="0" w:space="0" w:color="auto"/>
        <w:right w:val="none" w:sz="0" w:space="0" w:color="auto"/>
      </w:divBdr>
    </w:div>
    <w:div w:id="476653772">
      <w:bodyDiv w:val="1"/>
      <w:marLeft w:val="0"/>
      <w:marRight w:val="0"/>
      <w:marTop w:val="0"/>
      <w:marBottom w:val="0"/>
      <w:divBdr>
        <w:top w:val="none" w:sz="0" w:space="0" w:color="auto"/>
        <w:left w:val="none" w:sz="0" w:space="0" w:color="auto"/>
        <w:bottom w:val="none" w:sz="0" w:space="0" w:color="auto"/>
        <w:right w:val="none" w:sz="0" w:space="0" w:color="auto"/>
      </w:divBdr>
      <w:divsChild>
        <w:div w:id="915553303">
          <w:marLeft w:val="0"/>
          <w:marRight w:val="0"/>
          <w:marTop w:val="0"/>
          <w:marBottom w:val="0"/>
          <w:divBdr>
            <w:top w:val="single" w:sz="2" w:space="0" w:color="D9D9E3"/>
            <w:left w:val="single" w:sz="2" w:space="0" w:color="D9D9E3"/>
            <w:bottom w:val="single" w:sz="2" w:space="0" w:color="D9D9E3"/>
            <w:right w:val="single" w:sz="2" w:space="0" w:color="D9D9E3"/>
          </w:divBdr>
          <w:divsChild>
            <w:div w:id="945235432">
              <w:marLeft w:val="0"/>
              <w:marRight w:val="0"/>
              <w:marTop w:val="0"/>
              <w:marBottom w:val="0"/>
              <w:divBdr>
                <w:top w:val="single" w:sz="2" w:space="0" w:color="D9D9E3"/>
                <w:left w:val="single" w:sz="2" w:space="0" w:color="D9D9E3"/>
                <w:bottom w:val="single" w:sz="2" w:space="0" w:color="D9D9E3"/>
                <w:right w:val="single" w:sz="2" w:space="0" w:color="D9D9E3"/>
              </w:divBdr>
              <w:divsChild>
                <w:div w:id="1299458819">
                  <w:marLeft w:val="0"/>
                  <w:marRight w:val="0"/>
                  <w:marTop w:val="0"/>
                  <w:marBottom w:val="0"/>
                  <w:divBdr>
                    <w:top w:val="single" w:sz="2" w:space="0" w:color="D9D9E3"/>
                    <w:left w:val="single" w:sz="2" w:space="0" w:color="D9D9E3"/>
                    <w:bottom w:val="single" w:sz="2" w:space="0" w:color="D9D9E3"/>
                    <w:right w:val="single" w:sz="2" w:space="0" w:color="D9D9E3"/>
                  </w:divBdr>
                  <w:divsChild>
                    <w:div w:id="382876451">
                      <w:marLeft w:val="0"/>
                      <w:marRight w:val="0"/>
                      <w:marTop w:val="0"/>
                      <w:marBottom w:val="0"/>
                      <w:divBdr>
                        <w:top w:val="single" w:sz="2" w:space="0" w:color="D9D9E3"/>
                        <w:left w:val="single" w:sz="2" w:space="0" w:color="D9D9E3"/>
                        <w:bottom w:val="single" w:sz="2" w:space="0" w:color="D9D9E3"/>
                        <w:right w:val="single" w:sz="2" w:space="0" w:color="D9D9E3"/>
                      </w:divBdr>
                      <w:divsChild>
                        <w:div w:id="1799176988">
                          <w:marLeft w:val="0"/>
                          <w:marRight w:val="0"/>
                          <w:marTop w:val="0"/>
                          <w:marBottom w:val="0"/>
                          <w:divBdr>
                            <w:top w:val="single" w:sz="2" w:space="0" w:color="D9D9E3"/>
                            <w:left w:val="single" w:sz="2" w:space="0" w:color="D9D9E3"/>
                            <w:bottom w:val="single" w:sz="2" w:space="0" w:color="D9D9E3"/>
                            <w:right w:val="single" w:sz="2" w:space="0" w:color="D9D9E3"/>
                          </w:divBdr>
                          <w:divsChild>
                            <w:div w:id="1764956515">
                              <w:marLeft w:val="0"/>
                              <w:marRight w:val="0"/>
                              <w:marTop w:val="100"/>
                              <w:marBottom w:val="100"/>
                              <w:divBdr>
                                <w:top w:val="single" w:sz="2" w:space="0" w:color="D9D9E3"/>
                                <w:left w:val="single" w:sz="2" w:space="0" w:color="D9D9E3"/>
                                <w:bottom w:val="single" w:sz="2" w:space="0" w:color="D9D9E3"/>
                                <w:right w:val="single" w:sz="2" w:space="0" w:color="D9D9E3"/>
                              </w:divBdr>
                              <w:divsChild>
                                <w:div w:id="1874997905">
                                  <w:marLeft w:val="0"/>
                                  <w:marRight w:val="0"/>
                                  <w:marTop w:val="0"/>
                                  <w:marBottom w:val="0"/>
                                  <w:divBdr>
                                    <w:top w:val="single" w:sz="2" w:space="0" w:color="D9D9E3"/>
                                    <w:left w:val="single" w:sz="2" w:space="0" w:color="D9D9E3"/>
                                    <w:bottom w:val="single" w:sz="2" w:space="0" w:color="D9D9E3"/>
                                    <w:right w:val="single" w:sz="2" w:space="0" w:color="D9D9E3"/>
                                  </w:divBdr>
                                  <w:divsChild>
                                    <w:div w:id="926504532">
                                      <w:marLeft w:val="0"/>
                                      <w:marRight w:val="0"/>
                                      <w:marTop w:val="0"/>
                                      <w:marBottom w:val="0"/>
                                      <w:divBdr>
                                        <w:top w:val="single" w:sz="2" w:space="0" w:color="D9D9E3"/>
                                        <w:left w:val="single" w:sz="2" w:space="0" w:color="D9D9E3"/>
                                        <w:bottom w:val="single" w:sz="2" w:space="0" w:color="D9D9E3"/>
                                        <w:right w:val="single" w:sz="2" w:space="0" w:color="D9D9E3"/>
                                      </w:divBdr>
                                      <w:divsChild>
                                        <w:div w:id="1131901484">
                                          <w:marLeft w:val="0"/>
                                          <w:marRight w:val="0"/>
                                          <w:marTop w:val="0"/>
                                          <w:marBottom w:val="0"/>
                                          <w:divBdr>
                                            <w:top w:val="single" w:sz="2" w:space="0" w:color="D9D9E3"/>
                                            <w:left w:val="single" w:sz="2" w:space="0" w:color="D9D9E3"/>
                                            <w:bottom w:val="single" w:sz="2" w:space="0" w:color="D9D9E3"/>
                                            <w:right w:val="single" w:sz="2" w:space="0" w:color="D9D9E3"/>
                                          </w:divBdr>
                                          <w:divsChild>
                                            <w:div w:id="4524912">
                                              <w:marLeft w:val="0"/>
                                              <w:marRight w:val="0"/>
                                              <w:marTop w:val="0"/>
                                              <w:marBottom w:val="0"/>
                                              <w:divBdr>
                                                <w:top w:val="single" w:sz="2" w:space="0" w:color="D9D9E3"/>
                                                <w:left w:val="single" w:sz="2" w:space="0" w:color="D9D9E3"/>
                                                <w:bottom w:val="single" w:sz="2" w:space="0" w:color="D9D9E3"/>
                                                <w:right w:val="single" w:sz="2" w:space="0" w:color="D9D9E3"/>
                                              </w:divBdr>
                                              <w:divsChild>
                                                <w:div w:id="590823352">
                                                  <w:marLeft w:val="0"/>
                                                  <w:marRight w:val="0"/>
                                                  <w:marTop w:val="0"/>
                                                  <w:marBottom w:val="0"/>
                                                  <w:divBdr>
                                                    <w:top w:val="single" w:sz="2" w:space="0" w:color="D9D9E3"/>
                                                    <w:left w:val="single" w:sz="2" w:space="0" w:color="D9D9E3"/>
                                                    <w:bottom w:val="single" w:sz="2" w:space="0" w:color="D9D9E3"/>
                                                    <w:right w:val="single" w:sz="2" w:space="0" w:color="D9D9E3"/>
                                                  </w:divBdr>
                                                  <w:divsChild>
                                                    <w:div w:id="8322576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3884134">
          <w:marLeft w:val="0"/>
          <w:marRight w:val="0"/>
          <w:marTop w:val="0"/>
          <w:marBottom w:val="0"/>
          <w:divBdr>
            <w:top w:val="none" w:sz="0" w:space="0" w:color="auto"/>
            <w:left w:val="none" w:sz="0" w:space="0" w:color="auto"/>
            <w:bottom w:val="none" w:sz="0" w:space="0" w:color="auto"/>
            <w:right w:val="none" w:sz="0" w:space="0" w:color="auto"/>
          </w:divBdr>
        </w:div>
      </w:divsChild>
    </w:div>
    <w:div w:id="479005361">
      <w:bodyDiv w:val="1"/>
      <w:marLeft w:val="0"/>
      <w:marRight w:val="0"/>
      <w:marTop w:val="0"/>
      <w:marBottom w:val="0"/>
      <w:divBdr>
        <w:top w:val="none" w:sz="0" w:space="0" w:color="auto"/>
        <w:left w:val="none" w:sz="0" w:space="0" w:color="auto"/>
        <w:bottom w:val="none" w:sz="0" w:space="0" w:color="auto"/>
        <w:right w:val="none" w:sz="0" w:space="0" w:color="auto"/>
      </w:divBdr>
    </w:div>
    <w:div w:id="523516708">
      <w:bodyDiv w:val="1"/>
      <w:marLeft w:val="0"/>
      <w:marRight w:val="0"/>
      <w:marTop w:val="0"/>
      <w:marBottom w:val="0"/>
      <w:divBdr>
        <w:top w:val="none" w:sz="0" w:space="0" w:color="auto"/>
        <w:left w:val="none" w:sz="0" w:space="0" w:color="auto"/>
        <w:bottom w:val="none" w:sz="0" w:space="0" w:color="auto"/>
        <w:right w:val="none" w:sz="0" w:space="0" w:color="auto"/>
      </w:divBdr>
    </w:div>
    <w:div w:id="648559298">
      <w:bodyDiv w:val="1"/>
      <w:marLeft w:val="0"/>
      <w:marRight w:val="0"/>
      <w:marTop w:val="0"/>
      <w:marBottom w:val="0"/>
      <w:divBdr>
        <w:top w:val="none" w:sz="0" w:space="0" w:color="auto"/>
        <w:left w:val="none" w:sz="0" w:space="0" w:color="auto"/>
        <w:bottom w:val="none" w:sz="0" w:space="0" w:color="auto"/>
        <w:right w:val="none" w:sz="0" w:space="0" w:color="auto"/>
      </w:divBdr>
    </w:div>
    <w:div w:id="662588330">
      <w:bodyDiv w:val="1"/>
      <w:marLeft w:val="0"/>
      <w:marRight w:val="0"/>
      <w:marTop w:val="0"/>
      <w:marBottom w:val="0"/>
      <w:divBdr>
        <w:top w:val="none" w:sz="0" w:space="0" w:color="auto"/>
        <w:left w:val="none" w:sz="0" w:space="0" w:color="auto"/>
        <w:bottom w:val="none" w:sz="0" w:space="0" w:color="auto"/>
        <w:right w:val="none" w:sz="0" w:space="0" w:color="auto"/>
      </w:divBdr>
    </w:div>
    <w:div w:id="679308695">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6455777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79864974">
      <w:bodyDiv w:val="1"/>
      <w:marLeft w:val="0"/>
      <w:marRight w:val="0"/>
      <w:marTop w:val="0"/>
      <w:marBottom w:val="0"/>
      <w:divBdr>
        <w:top w:val="none" w:sz="0" w:space="0" w:color="auto"/>
        <w:left w:val="none" w:sz="0" w:space="0" w:color="auto"/>
        <w:bottom w:val="none" w:sz="0" w:space="0" w:color="auto"/>
        <w:right w:val="none" w:sz="0" w:space="0" w:color="auto"/>
      </w:divBdr>
    </w:div>
    <w:div w:id="1233082748">
      <w:bodyDiv w:val="1"/>
      <w:marLeft w:val="0"/>
      <w:marRight w:val="0"/>
      <w:marTop w:val="0"/>
      <w:marBottom w:val="0"/>
      <w:divBdr>
        <w:top w:val="none" w:sz="0" w:space="0" w:color="auto"/>
        <w:left w:val="none" w:sz="0" w:space="0" w:color="auto"/>
        <w:bottom w:val="none" w:sz="0" w:space="0" w:color="auto"/>
        <w:right w:val="none" w:sz="0" w:space="0" w:color="auto"/>
      </w:divBdr>
    </w:div>
    <w:div w:id="127778572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25548037">
      <w:bodyDiv w:val="1"/>
      <w:marLeft w:val="0"/>
      <w:marRight w:val="0"/>
      <w:marTop w:val="0"/>
      <w:marBottom w:val="0"/>
      <w:divBdr>
        <w:top w:val="none" w:sz="0" w:space="0" w:color="auto"/>
        <w:left w:val="none" w:sz="0" w:space="0" w:color="auto"/>
        <w:bottom w:val="none" w:sz="0" w:space="0" w:color="auto"/>
        <w:right w:val="none" w:sz="0" w:space="0" w:color="auto"/>
      </w:divBdr>
    </w:div>
    <w:div w:id="1365398406">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18286671">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13640488">
      <w:bodyDiv w:val="1"/>
      <w:marLeft w:val="0"/>
      <w:marRight w:val="0"/>
      <w:marTop w:val="0"/>
      <w:marBottom w:val="0"/>
      <w:divBdr>
        <w:top w:val="none" w:sz="0" w:space="0" w:color="auto"/>
        <w:left w:val="none" w:sz="0" w:space="0" w:color="auto"/>
        <w:bottom w:val="none" w:sz="0" w:space="0" w:color="auto"/>
        <w:right w:val="none" w:sz="0" w:space="0" w:color="auto"/>
      </w:divBdr>
    </w:div>
    <w:div w:id="1542328238">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02836664">
      <w:bodyDiv w:val="1"/>
      <w:marLeft w:val="0"/>
      <w:marRight w:val="0"/>
      <w:marTop w:val="0"/>
      <w:marBottom w:val="0"/>
      <w:divBdr>
        <w:top w:val="none" w:sz="0" w:space="0" w:color="auto"/>
        <w:left w:val="none" w:sz="0" w:space="0" w:color="auto"/>
        <w:bottom w:val="none" w:sz="0" w:space="0" w:color="auto"/>
        <w:right w:val="none" w:sz="0" w:space="0" w:color="auto"/>
      </w:divBdr>
    </w:div>
    <w:div w:id="1609124496">
      <w:bodyDiv w:val="1"/>
      <w:marLeft w:val="0"/>
      <w:marRight w:val="0"/>
      <w:marTop w:val="0"/>
      <w:marBottom w:val="0"/>
      <w:divBdr>
        <w:top w:val="none" w:sz="0" w:space="0" w:color="auto"/>
        <w:left w:val="none" w:sz="0" w:space="0" w:color="auto"/>
        <w:bottom w:val="none" w:sz="0" w:space="0" w:color="auto"/>
        <w:right w:val="none" w:sz="0" w:space="0" w:color="auto"/>
      </w:divBdr>
    </w:div>
    <w:div w:id="1631128050">
      <w:bodyDiv w:val="1"/>
      <w:marLeft w:val="0"/>
      <w:marRight w:val="0"/>
      <w:marTop w:val="0"/>
      <w:marBottom w:val="0"/>
      <w:divBdr>
        <w:top w:val="none" w:sz="0" w:space="0" w:color="auto"/>
        <w:left w:val="none" w:sz="0" w:space="0" w:color="auto"/>
        <w:bottom w:val="none" w:sz="0" w:space="0" w:color="auto"/>
        <w:right w:val="none" w:sz="0" w:space="0" w:color="auto"/>
      </w:divBdr>
    </w:div>
    <w:div w:id="1760983655">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79621386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10128057">
      <w:bodyDiv w:val="1"/>
      <w:marLeft w:val="0"/>
      <w:marRight w:val="0"/>
      <w:marTop w:val="0"/>
      <w:marBottom w:val="0"/>
      <w:divBdr>
        <w:top w:val="none" w:sz="0" w:space="0" w:color="auto"/>
        <w:left w:val="none" w:sz="0" w:space="0" w:color="auto"/>
        <w:bottom w:val="none" w:sz="0" w:space="0" w:color="auto"/>
        <w:right w:val="none" w:sz="0" w:space="0" w:color="auto"/>
      </w:divBdr>
    </w:div>
    <w:div w:id="1825317899">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879463075">
      <w:bodyDiv w:val="1"/>
      <w:marLeft w:val="0"/>
      <w:marRight w:val="0"/>
      <w:marTop w:val="0"/>
      <w:marBottom w:val="0"/>
      <w:divBdr>
        <w:top w:val="none" w:sz="0" w:space="0" w:color="auto"/>
        <w:left w:val="none" w:sz="0" w:space="0" w:color="auto"/>
        <w:bottom w:val="none" w:sz="0" w:space="0" w:color="auto"/>
        <w:right w:val="none" w:sz="0" w:space="0" w:color="auto"/>
      </w:divBdr>
    </w:div>
    <w:div w:id="1990094182">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12044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npowergroup.e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an.gomez@manpowergroup.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ala.diaz@manpowergroup.es" TargetMode="External"/><Relationship Id="rId4" Type="http://schemas.openxmlformats.org/officeDocument/2006/relationships/settings" Target="settings.xml"/><Relationship Id="rId9" Type="http://schemas.openxmlformats.org/officeDocument/2006/relationships/hyperlink" Target="mailto:comunicaci&#243;n.manpowergroup@havas.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70DAA-9F0D-47BB-AA27-3D152BEA8AA9}">
  <ds:schemaRefs>
    <ds:schemaRef ds:uri="http://schemas.openxmlformats.org/officeDocument/2006/bibliography"/>
  </ds:schemaRefs>
</ds:datastoreItem>
</file>