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08DC" w14:textId="64930A9E" w:rsidR="009E3B67" w:rsidRDefault="00830752" w:rsidP="006034F4">
      <w:pPr>
        <w:spacing w:before="120" w:line="276" w:lineRule="auto"/>
        <w:jc w:val="center"/>
        <w:rPr>
          <w:rFonts w:ascii="Tahoma" w:eastAsia="Arial" w:hAnsi="Tahoma" w:cs="Tahoma"/>
          <w:b/>
          <w:bCs/>
          <w:sz w:val="36"/>
          <w:szCs w:val="36"/>
        </w:rPr>
      </w:pPr>
      <w:r w:rsidRPr="00B72EB2">
        <w:rPr>
          <w:rFonts w:ascii="Tahoma" w:eastAsia="Arial" w:hAnsi="Tahoma" w:cs="Tahoma"/>
          <w:b/>
          <w:bCs/>
          <w:sz w:val="36"/>
          <w:szCs w:val="36"/>
        </w:rPr>
        <w:t>El hidrógeno verde</w:t>
      </w:r>
      <w:r w:rsidR="009E3B67" w:rsidRPr="00B72EB2">
        <w:rPr>
          <w:rFonts w:ascii="Tahoma" w:eastAsia="Arial" w:hAnsi="Tahoma" w:cs="Tahoma"/>
          <w:b/>
          <w:bCs/>
          <w:sz w:val="36"/>
          <w:szCs w:val="36"/>
        </w:rPr>
        <w:t xml:space="preserve"> y los biocombustibles</w:t>
      </w:r>
      <w:r w:rsidRPr="00B72EB2">
        <w:rPr>
          <w:rFonts w:ascii="Tahoma" w:eastAsia="Arial" w:hAnsi="Tahoma" w:cs="Tahoma"/>
          <w:b/>
          <w:bCs/>
          <w:sz w:val="36"/>
          <w:szCs w:val="36"/>
        </w:rPr>
        <w:t xml:space="preserve"> creará</w:t>
      </w:r>
      <w:r w:rsidR="009E3B67" w:rsidRPr="00B72EB2">
        <w:rPr>
          <w:rFonts w:ascii="Tahoma" w:eastAsia="Arial" w:hAnsi="Tahoma" w:cs="Tahoma"/>
          <w:b/>
          <w:bCs/>
          <w:sz w:val="36"/>
          <w:szCs w:val="36"/>
        </w:rPr>
        <w:t>n</w:t>
      </w:r>
      <w:r w:rsidRPr="00B72EB2">
        <w:rPr>
          <w:rFonts w:ascii="Tahoma" w:eastAsia="Arial" w:hAnsi="Tahoma" w:cs="Tahoma"/>
          <w:b/>
          <w:bCs/>
          <w:sz w:val="36"/>
          <w:szCs w:val="36"/>
        </w:rPr>
        <w:t xml:space="preserve"> 1,7 millones de empleos </w:t>
      </w:r>
      <w:r w:rsidR="009E3B67" w:rsidRPr="00B72EB2">
        <w:rPr>
          <w:rFonts w:ascii="Tahoma" w:eastAsia="Arial" w:hAnsi="Tahoma" w:cs="Tahoma"/>
          <w:b/>
          <w:bCs/>
          <w:sz w:val="36"/>
          <w:szCs w:val="36"/>
        </w:rPr>
        <w:t>en Europa hasta 2040</w:t>
      </w:r>
    </w:p>
    <w:p w14:paraId="780B4136" w14:textId="77777777" w:rsidR="008932B7" w:rsidRPr="00B72EB2" w:rsidRDefault="008932B7" w:rsidP="006034F4">
      <w:pPr>
        <w:spacing w:before="120" w:line="276" w:lineRule="auto"/>
        <w:jc w:val="center"/>
        <w:rPr>
          <w:rFonts w:ascii="Tahoma" w:eastAsia="Arial" w:hAnsi="Tahoma" w:cs="Tahoma"/>
          <w:b/>
          <w:bCs/>
          <w:sz w:val="36"/>
          <w:szCs w:val="36"/>
        </w:rPr>
      </w:pPr>
    </w:p>
    <w:p w14:paraId="1F47A06B" w14:textId="1251D16A" w:rsidR="00CB70C5" w:rsidRPr="00B72EB2" w:rsidRDefault="009E3B67" w:rsidP="006034F4">
      <w:pPr>
        <w:pStyle w:val="Prrafodelista"/>
        <w:numPr>
          <w:ilvl w:val="0"/>
          <w:numId w:val="9"/>
        </w:numPr>
        <w:spacing w:before="120" w:line="276" w:lineRule="auto"/>
        <w:jc w:val="both"/>
        <w:rPr>
          <w:rFonts w:ascii="Tahoma" w:eastAsia="Arial" w:hAnsi="Tahoma" w:cs="Tahoma"/>
          <w:b/>
          <w:sz w:val="20"/>
          <w:szCs w:val="20"/>
        </w:rPr>
      </w:pPr>
      <w:r w:rsidRPr="00B72EB2">
        <w:rPr>
          <w:rFonts w:ascii="Tahoma" w:eastAsia="Arial" w:hAnsi="Tahoma" w:cs="Tahoma"/>
          <w:b/>
          <w:sz w:val="20"/>
          <w:szCs w:val="20"/>
        </w:rPr>
        <w:t xml:space="preserve">Cepsa y Manpower presentan en Davos el informe </w:t>
      </w:r>
      <w:r w:rsidR="0070792D" w:rsidRPr="00B72EB2">
        <w:rPr>
          <w:rFonts w:ascii="Tahoma" w:eastAsia="Arial" w:hAnsi="Tahoma" w:cs="Tahoma"/>
          <w:bCs/>
          <w:sz w:val="20"/>
          <w:szCs w:val="20"/>
        </w:rPr>
        <w:t>“</w:t>
      </w:r>
      <w:r w:rsidR="0070792D" w:rsidRPr="00B72EB2">
        <w:rPr>
          <w:rFonts w:ascii="Tahoma" w:eastAsia="Arial" w:hAnsi="Tahoma" w:cs="Tahoma"/>
          <w:b/>
          <w:sz w:val="20"/>
          <w:szCs w:val="20"/>
        </w:rPr>
        <w:t>Las moléculas verdes: la inminente revolución del mercado del empleo en Europa</w:t>
      </w:r>
      <w:r w:rsidR="0070792D" w:rsidRPr="00B72EB2">
        <w:rPr>
          <w:rFonts w:ascii="Tahoma" w:eastAsia="Arial" w:hAnsi="Tahoma" w:cs="Tahoma"/>
          <w:bCs/>
          <w:sz w:val="20"/>
          <w:szCs w:val="20"/>
        </w:rPr>
        <w:t xml:space="preserve">”, </w:t>
      </w:r>
      <w:r w:rsidRPr="00B72EB2">
        <w:rPr>
          <w:rFonts w:ascii="Tahoma" w:eastAsia="Arial" w:hAnsi="Tahoma" w:cs="Tahoma"/>
          <w:b/>
          <w:sz w:val="20"/>
          <w:szCs w:val="20"/>
        </w:rPr>
        <w:t xml:space="preserve">que señala que los combustibles renovables aumentarán el PIB </w:t>
      </w:r>
      <w:r w:rsidR="00494AD9" w:rsidRPr="00B72EB2">
        <w:rPr>
          <w:rFonts w:ascii="Tahoma" w:eastAsia="Arial" w:hAnsi="Tahoma" w:cs="Tahoma"/>
          <w:b/>
          <w:sz w:val="20"/>
          <w:szCs w:val="20"/>
        </w:rPr>
        <w:t>europeo en 145.000 millones de euros hasta 2040</w:t>
      </w:r>
      <w:r w:rsidR="00CB70C5" w:rsidRPr="00B72EB2">
        <w:rPr>
          <w:rFonts w:ascii="Tahoma" w:eastAsia="Arial" w:hAnsi="Tahoma" w:cs="Tahoma"/>
          <w:bCs/>
          <w:sz w:val="20"/>
          <w:szCs w:val="20"/>
        </w:rPr>
        <w:t xml:space="preserve"> </w:t>
      </w:r>
    </w:p>
    <w:p w14:paraId="3E1F7BE1" w14:textId="67DB987D" w:rsidR="00706482" w:rsidRPr="00B72EB2" w:rsidRDefault="00706482" w:rsidP="006034F4">
      <w:pPr>
        <w:pStyle w:val="Prrafodelista"/>
        <w:numPr>
          <w:ilvl w:val="0"/>
          <w:numId w:val="9"/>
        </w:numPr>
        <w:spacing w:before="120" w:line="276" w:lineRule="auto"/>
        <w:contextualSpacing w:val="0"/>
        <w:jc w:val="both"/>
        <w:rPr>
          <w:rFonts w:ascii="Tahoma" w:eastAsia="Arial" w:hAnsi="Tahoma" w:cs="Tahoma"/>
          <w:b/>
          <w:sz w:val="20"/>
          <w:szCs w:val="20"/>
        </w:rPr>
      </w:pPr>
      <w:r w:rsidRPr="00B72EB2">
        <w:rPr>
          <w:rFonts w:ascii="Tahoma" w:eastAsia="Arial" w:hAnsi="Tahoma" w:cs="Tahoma"/>
          <w:b/>
          <w:sz w:val="20"/>
          <w:szCs w:val="20"/>
        </w:rPr>
        <w:t xml:space="preserve">El </w:t>
      </w:r>
      <w:r w:rsidR="009E3B67" w:rsidRPr="00B72EB2">
        <w:rPr>
          <w:rFonts w:ascii="Tahoma" w:eastAsia="Arial" w:hAnsi="Tahoma" w:cs="Tahoma"/>
          <w:b/>
          <w:sz w:val="20"/>
          <w:szCs w:val="20"/>
        </w:rPr>
        <w:t xml:space="preserve">estudio </w:t>
      </w:r>
      <w:r w:rsidRPr="00B72EB2">
        <w:rPr>
          <w:rFonts w:ascii="Tahoma" w:eastAsia="Arial" w:hAnsi="Tahoma" w:cs="Tahoma"/>
          <w:b/>
          <w:sz w:val="20"/>
          <w:szCs w:val="20"/>
        </w:rPr>
        <w:t>anticipa que España liderará la producción de hidrógeno verde</w:t>
      </w:r>
      <w:r w:rsidR="00327349" w:rsidRPr="00B72EB2">
        <w:rPr>
          <w:rFonts w:ascii="Tahoma" w:eastAsia="Arial" w:hAnsi="Tahoma" w:cs="Tahoma"/>
          <w:b/>
          <w:sz w:val="20"/>
          <w:szCs w:val="20"/>
        </w:rPr>
        <w:t xml:space="preserve"> </w:t>
      </w:r>
      <w:r w:rsidR="009E3B67" w:rsidRPr="00B72EB2">
        <w:rPr>
          <w:rFonts w:ascii="Tahoma" w:eastAsia="Arial" w:hAnsi="Tahoma" w:cs="Tahoma"/>
          <w:b/>
          <w:sz w:val="20"/>
          <w:szCs w:val="20"/>
        </w:rPr>
        <w:t xml:space="preserve">en Europa </w:t>
      </w:r>
      <w:r w:rsidRPr="00B72EB2">
        <w:rPr>
          <w:rFonts w:ascii="Tahoma" w:eastAsia="Arial" w:hAnsi="Tahoma" w:cs="Tahoma"/>
          <w:b/>
          <w:sz w:val="20"/>
          <w:szCs w:val="20"/>
        </w:rPr>
        <w:t xml:space="preserve">y </w:t>
      </w:r>
      <w:r w:rsidR="003F1BFE" w:rsidRPr="00B72EB2">
        <w:rPr>
          <w:rFonts w:ascii="Tahoma" w:eastAsia="Arial" w:hAnsi="Tahoma" w:cs="Tahoma"/>
          <w:b/>
          <w:sz w:val="20"/>
          <w:szCs w:val="20"/>
        </w:rPr>
        <w:t xml:space="preserve">que será el país que más empleos </w:t>
      </w:r>
      <w:r w:rsidR="0063007E" w:rsidRPr="00B72EB2">
        <w:rPr>
          <w:rFonts w:ascii="Tahoma" w:eastAsia="Arial" w:hAnsi="Tahoma" w:cs="Tahoma"/>
          <w:b/>
          <w:sz w:val="20"/>
          <w:szCs w:val="20"/>
        </w:rPr>
        <w:t xml:space="preserve">vinculados a moléculas </w:t>
      </w:r>
      <w:r w:rsidR="003F1BFE" w:rsidRPr="00B72EB2">
        <w:rPr>
          <w:rFonts w:ascii="Tahoma" w:eastAsia="Arial" w:hAnsi="Tahoma" w:cs="Tahoma"/>
          <w:b/>
          <w:sz w:val="20"/>
          <w:szCs w:val="20"/>
        </w:rPr>
        <w:t xml:space="preserve">verdes genere </w:t>
      </w:r>
      <w:r w:rsidR="005C32C4" w:rsidRPr="00B72EB2">
        <w:rPr>
          <w:rFonts w:ascii="Tahoma" w:eastAsia="Arial" w:hAnsi="Tahoma" w:cs="Tahoma"/>
          <w:b/>
          <w:sz w:val="20"/>
          <w:szCs w:val="20"/>
        </w:rPr>
        <w:t xml:space="preserve">con </w:t>
      </w:r>
      <w:r w:rsidRPr="00B72EB2">
        <w:rPr>
          <w:rFonts w:ascii="Tahoma" w:eastAsia="Arial" w:hAnsi="Tahoma" w:cs="Tahoma"/>
          <w:b/>
          <w:sz w:val="20"/>
          <w:szCs w:val="20"/>
        </w:rPr>
        <w:t>1</w:t>
      </w:r>
      <w:r w:rsidR="000B79C7" w:rsidRPr="00B72EB2">
        <w:rPr>
          <w:rFonts w:ascii="Tahoma" w:eastAsia="Arial" w:hAnsi="Tahoma" w:cs="Tahoma"/>
          <w:b/>
          <w:sz w:val="20"/>
          <w:szCs w:val="20"/>
        </w:rPr>
        <w:t>81</w:t>
      </w:r>
      <w:r w:rsidRPr="00B72EB2">
        <w:rPr>
          <w:rFonts w:ascii="Tahoma" w:eastAsia="Arial" w:hAnsi="Tahoma" w:cs="Tahoma"/>
          <w:b/>
          <w:sz w:val="20"/>
          <w:szCs w:val="20"/>
        </w:rPr>
        <w:t>.000</w:t>
      </w:r>
      <w:r w:rsidR="005C32C4" w:rsidRPr="00B72EB2">
        <w:rPr>
          <w:rFonts w:ascii="Tahoma" w:eastAsia="Arial" w:hAnsi="Tahoma" w:cs="Tahoma"/>
          <w:b/>
          <w:sz w:val="20"/>
          <w:szCs w:val="20"/>
        </w:rPr>
        <w:t xml:space="preserve"> a 2040</w:t>
      </w:r>
      <w:r w:rsidR="00782C9D" w:rsidRPr="00B72EB2">
        <w:rPr>
          <w:rFonts w:ascii="Tahoma" w:eastAsia="Arial" w:hAnsi="Tahoma" w:cs="Tahoma"/>
          <w:b/>
          <w:sz w:val="20"/>
          <w:szCs w:val="20"/>
        </w:rPr>
        <w:t xml:space="preserve">, por delante de Reino Unido </w:t>
      </w:r>
      <w:r w:rsidR="0042212A" w:rsidRPr="00B72EB2">
        <w:rPr>
          <w:rFonts w:ascii="Tahoma" w:eastAsia="Arial" w:hAnsi="Tahoma" w:cs="Tahoma"/>
          <w:b/>
          <w:sz w:val="20"/>
          <w:szCs w:val="20"/>
        </w:rPr>
        <w:t>(17</w:t>
      </w:r>
      <w:r w:rsidR="005C336B" w:rsidRPr="00B72EB2">
        <w:rPr>
          <w:rFonts w:ascii="Tahoma" w:eastAsia="Arial" w:hAnsi="Tahoma" w:cs="Tahoma"/>
          <w:b/>
          <w:sz w:val="20"/>
          <w:szCs w:val="20"/>
        </w:rPr>
        <w:t>3</w:t>
      </w:r>
      <w:r w:rsidR="0042212A" w:rsidRPr="00B72EB2">
        <w:rPr>
          <w:rFonts w:ascii="Tahoma" w:eastAsia="Arial" w:hAnsi="Tahoma" w:cs="Tahoma"/>
          <w:b/>
          <w:sz w:val="20"/>
          <w:szCs w:val="20"/>
        </w:rPr>
        <w:t>.000)</w:t>
      </w:r>
      <w:r w:rsidR="005C336B" w:rsidRPr="00B72EB2">
        <w:rPr>
          <w:rFonts w:ascii="Tahoma" w:eastAsia="Arial" w:hAnsi="Tahoma" w:cs="Tahoma"/>
          <w:b/>
          <w:sz w:val="20"/>
          <w:szCs w:val="20"/>
        </w:rPr>
        <w:t xml:space="preserve">, </w:t>
      </w:r>
      <w:r w:rsidR="00782C9D" w:rsidRPr="00B72EB2">
        <w:rPr>
          <w:rFonts w:ascii="Tahoma" w:eastAsia="Arial" w:hAnsi="Tahoma" w:cs="Tahoma"/>
          <w:b/>
          <w:sz w:val="20"/>
          <w:szCs w:val="20"/>
        </w:rPr>
        <w:t>Alemania</w:t>
      </w:r>
      <w:r w:rsidR="005C336B" w:rsidRPr="00B72EB2">
        <w:rPr>
          <w:rFonts w:ascii="Tahoma" w:eastAsia="Arial" w:hAnsi="Tahoma" w:cs="Tahoma"/>
          <w:b/>
          <w:sz w:val="20"/>
          <w:szCs w:val="20"/>
        </w:rPr>
        <w:t xml:space="preserve"> (145.000) y Francia (105.000)</w:t>
      </w:r>
      <w:r w:rsidR="00246591" w:rsidRPr="00B72EB2">
        <w:rPr>
          <w:rFonts w:ascii="Tahoma" w:eastAsia="Arial" w:hAnsi="Tahoma" w:cs="Tahoma"/>
          <w:b/>
          <w:sz w:val="20"/>
          <w:szCs w:val="20"/>
        </w:rPr>
        <w:t xml:space="preserve"> </w:t>
      </w:r>
    </w:p>
    <w:p w14:paraId="46DB29DD" w14:textId="3990638A" w:rsidR="00102F2C" w:rsidRPr="00B72EB2" w:rsidRDefault="000B0F36" w:rsidP="006034F4">
      <w:pPr>
        <w:pStyle w:val="Prrafodelista"/>
        <w:numPr>
          <w:ilvl w:val="0"/>
          <w:numId w:val="9"/>
        </w:numPr>
        <w:spacing w:before="120" w:line="276" w:lineRule="auto"/>
        <w:contextualSpacing w:val="0"/>
        <w:jc w:val="both"/>
        <w:rPr>
          <w:rFonts w:ascii="Tahoma" w:eastAsia="Arial" w:hAnsi="Tahoma" w:cs="Tahoma"/>
          <w:b/>
          <w:sz w:val="20"/>
          <w:szCs w:val="20"/>
        </w:rPr>
      </w:pPr>
      <w:r w:rsidRPr="00B72EB2">
        <w:rPr>
          <w:rFonts w:ascii="Tahoma" w:eastAsia="Arial" w:hAnsi="Tahoma" w:cs="Tahoma"/>
          <w:b/>
          <w:sz w:val="20"/>
          <w:szCs w:val="20"/>
        </w:rPr>
        <w:t>Los</w:t>
      </w:r>
      <w:r w:rsidR="00794217" w:rsidRPr="00B72EB2">
        <w:rPr>
          <w:rFonts w:ascii="Tahoma" w:eastAsia="Arial" w:hAnsi="Tahoma" w:cs="Tahoma"/>
          <w:b/>
          <w:sz w:val="20"/>
          <w:szCs w:val="20"/>
        </w:rPr>
        <w:t xml:space="preserve"> nuevos </w:t>
      </w:r>
      <w:r w:rsidR="00102F2C" w:rsidRPr="00B72EB2">
        <w:rPr>
          <w:rFonts w:ascii="Tahoma" w:eastAsia="Arial" w:hAnsi="Tahoma" w:cs="Tahoma"/>
          <w:b/>
          <w:sz w:val="20"/>
          <w:szCs w:val="20"/>
        </w:rPr>
        <w:t>empleos requer</w:t>
      </w:r>
      <w:r w:rsidRPr="00B72EB2">
        <w:rPr>
          <w:rFonts w:ascii="Tahoma" w:eastAsia="Arial" w:hAnsi="Tahoma" w:cs="Tahoma"/>
          <w:b/>
          <w:sz w:val="20"/>
          <w:szCs w:val="20"/>
        </w:rPr>
        <w:t>irán</w:t>
      </w:r>
      <w:r w:rsidR="00794217" w:rsidRPr="00B72EB2">
        <w:rPr>
          <w:rFonts w:ascii="Tahoma" w:eastAsia="Arial" w:hAnsi="Tahoma" w:cs="Tahoma"/>
          <w:b/>
          <w:sz w:val="20"/>
          <w:szCs w:val="20"/>
        </w:rPr>
        <w:t xml:space="preserve"> más competencias vinculadas </w:t>
      </w:r>
      <w:r w:rsidR="007F0E89" w:rsidRPr="00B72EB2">
        <w:rPr>
          <w:rFonts w:ascii="Tahoma" w:eastAsia="Arial" w:hAnsi="Tahoma" w:cs="Tahoma"/>
          <w:b/>
          <w:sz w:val="20"/>
          <w:szCs w:val="20"/>
        </w:rPr>
        <w:t>a la transición energética</w:t>
      </w:r>
      <w:r w:rsidR="00B87BF4" w:rsidRPr="00B72EB2">
        <w:rPr>
          <w:rFonts w:ascii="Tahoma" w:eastAsia="Arial" w:hAnsi="Tahoma" w:cs="Tahoma"/>
          <w:b/>
          <w:sz w:val="20"/>
          <w:szCs w:val="20"/>
        </w:rPr>
        <w:t xml:space="preserve">, con el 55% </w:t>
      </w:r>
      <w:r w:rsidR="00794217" w:rsidRPr="00B72EB2">
        <w:rPr>
          <w:rFonts w:ascii="Tahoma" w:eastAsia="Arial" w:hAnsi="Tahoma" w:cs="Tahoma"/>
          <w:b/>
          <w:sz w:val="20"/>
          <w:szCs w:val="20"/>
        </w:rPr>
        <w:t>de las nuevas posiciones</w:t>
      </w:r>
      <w:r w:rsidRPr="00B72EB2">
        <w:rPr>
          <w:rFonts w:ascii="Tahoma" w:eastAsia="Arial" w:hAnsi="Tahoma" w:cs="Tahoma"/>
          <w:b/>
          <w:sz w:val="20"/>
          <w:szCs w:val="20"/>
        </w:rPr>
        <w:t xml:space="preserve"> en</w:t>
      </w:r>
      <w:r w:rsidR="002C32A2" w:rsidRPr="00B72EB2">
        <w:rPr>
          <w:rFonts w:ascii="Tahoma" w:eastAsia="Arial" w:hAnsi="Tahoma" w:cs="Tahoma"/>
          <w:b/>
          <w:sz w:val="20"/>
          <w:szCs w:val="20"/>
        </w:rPr>
        <w:t xml:space="preserve"> 2040 en</w:t>
      </w:r>
      <w:r w:rsidRPr="00B72EB2">
        <w:rPr>
          <w:rFonts w:ascii="Tahoma" w:eastAsia="Arial" w:hAnsi="Tahoma" w:cs="Tahoma"/>
          <w:b/>
          <w:sz w:val="20"/>
          <w:szCs w:val="20"/>
        </w:rPr>
        <w:t xml:space="preserve"> el caso de España</w:t>
      </w:r>
      <w:r w:rsidR="00E747B4" w:rsidRPr="00B72EB2">
        <w:rPr>
          <w:rFonts w:ascii="Tahoma" w:eastAsia="Arial" w:hAnsi="Tahoma" w:cs="Tahoma"/>
          <w:b/>
          <w:sz w:val="20"/>
          <w:szCs w:val="20"/>
        </w:rPr>
        <w:t>, donde</w:t>
      </w:r>
      <w:r w:rsidR="005F0624" w:rsidRPr="00B72EB2">
        <w:rPr>
          <w:rFonts w:ascii="Tahoma" w:eastAsia="Arial" w:hAnsi="Tahoma" w:cs="Tahoma"/>
          <w:b/>
          <w:sz w:val="20"/>
          <w:szCs w:val="20"/>
        </w:rPr>
        <w:t xml:space="preserve"> se pre</w:t>
      </w:r>
      <w:r w:rsidR="00100AA3" w:rsidRPr="00B72EB2">
        <w:rPr>
          <w:rFonts w:ascii="Tahoma" w:eastAsia="Arial" w:hAnsi="Tahoma" w:cs="Tahoma"/>
          <w:b/>
          <w:sz w:val="20"/>
          <w:szCs w:val="20"/>
        </w:rPr>
        <w:t>vé que</w:t>
      </w:r>
      <w:r w:rsidR="00E747B4" w:rsidRPr="00B72EB2">
        <w:rPr>
          <w:rFonts w:ascii="Tahoma" w:eastAsia="Arial" w:hAnsi="Tahoma" w:cs="Tahoma"/>
          <w:b/>
          <w:sz w:val="20"/>
          <w:szCs w:val="20"/>
        </w:rPr>
        <w:t xml:space="preserve"> las mujeres ocup</w:t>
      </w:r>
      <w:r w:rsidR="00905CF4" w:rsidRPr="00B72EB2">
        <w:rPr>
          <w:rFonts w:ascii="Tahoma" w:eastAsia="Arial" w:hAnsi="Tahoma" w:cs="Tahoma"/>
          <w:b/>
          <w:sz w:val="20"/>
          <w:szCs w:val="20"/>
        </w:rPr>
        <w:t>en</w:t>
      </w:r>
      <w:r w:rsidR="00E747B4" w:rsidRPr="00B72EB2">
        <w:rPr>
          <w:rFonts w:ascii="Tahoma" w:eastAsia="Arial" w:hAnsi="Tahoma" w:cs="Tahoma"/>
          <w:b/>
          <w:sz w:val="20"/>
          <w:szCs w:val="20"/>
        </w:rPr>
        <w:t xml:space="preserve"> el 51% de los nuevos empleos </w:t>
      </w:r>
      <w:r w:rsidR="005F0624" w:rsidRPr="00B72EB2">
        <w:rPr>
          <w:rFonts w:ascii="Tahoma" w:eastAsia="Arial" w:hAnsi="Tahoma" w:cs="Tahoma"/>
          <w:b/>
          <w:sz w:val="20"/>
          <w:szCs w:val="20"/>
        </w:rPr>
        <w:t xml:space="preserve">generados en </w:t>
      </w:r>
      <w:r w:rsidR="005A200B" w:rsidRPr="00B72EB2">
        <w:rPr>
          <w:rFonts w:ascii="Tahoma" w:eastAsia="Arial" w:hAnsi="Tahoma" w:cs="Tahoma"/>
          <w:b/>
          <w:sz w:val="20"/>
          <w:szCs w:val="20"/>
        </w:rPr>
        <w:t>la</w:t>
      </w:r>
      <w:r w:rsidR="005F0624" w:rsidRPr="00B72EB2">
        <w:rPr>
          <w:rFonts w:ascii="Tahoma" w:eastAsia="Arial" w:hAnsi="Tahoma" w:cs="Tahoma"/>
          <w:b/>
          <w:sz w:val="20"/>
          <w:szCs w:val="20"/>
        </w:rPr>
        <w:t xml:space="preserve"> industria</w:t>
      </w:r>
      <w:r w:rsidR="00E27547" w:rsidRPr="00B72EB2">
        <w:rPr>
          <w:rFonts w:ascii="Tahoma" w:eastAsia="Arial" w:hAnsi="Tahoma" w:cs="Tahoma"/>
          <w:b/>
          <w:sz w:val="20"/>
          <w:szCs w:val="20"/>
        </w:rPr>
        <w:t xml:space="preserve"> </w:t>
      </w:r>
      <w:r w:rsidR="005A200B" w:rsidRPr="00B72EB2">
        <w:rPr>
          <w:rFonts w:ascii="Tahoma" w:eastAsia="Arial" w:hAnsi="Tahoma" w:cs="Tahoma"/>
          <w:b/>
          <w:sz w:val="20"/>
          <w:szCs w:val="20"/>
        </w:rPr>
        <w:t>del hidrógeno verde y los biocombustibles</w:t>
      </w:r>
    </w:p>
    <w:p w14:paraId="219153EF" w14:textId="77777777" w:rsidR="008932B7" w:rsidRDefault="008932B7" w:rsidP="006034F4">
      <w:pPr>
        <w:spacing w:before="120" w:line="276" w:lineRule="auto"/>
        <w:jc w:val="both"/>
        <w:rPr>
          <w:rFonts w:ascii="Tahoma" w:eastAsia="Arial" w:hAnsi="Tahoma" w:cs="Tahoma"/>
          <w:b/>
          <w:sz w:val="20"/>
          <w:szCs w:val="20"/>
        </w:rPr>
      </w:pPr>
    </w:p>
    <w:p w14:paraId="56E3ECF3" w14:textId="62D1B172" w:rsidR="00830752" w:rsidRPr="00B72EB2" w:rsidRDefault="005A200B" w:rsidP="006034F4">
      <w:pPr>
        <w:spacing w:before="120" w:line="276" w:lineRule="auto"/>
        <w:jc w:val="both"/>
        <w:rPr>
          <w:rFonts w:ascii="Tahoma" w:eastAsia="Arial" w:hAnsi="Tahoma" w:cs="Tahoma"/>
          <w:bCs/>
          <w:sz w:val="20"/>
          <w:szCs w:val="20"/>
        </w:rPr>
      </w:pPr>
      <w:r w:rsidRPr="00B72EB2">
        <w:rPr>
          <w:rFonts w:ascii="Tahoma" w:eastAsia="Arial" w:hAnsi="Tahoma" w:cs="Tahoma"/>
          <w:b/>
          <w:sz w:val="20"/>
          <w:szCs w:val="20"/>
        </w:rPr>
        <w:t>Davos</w:t>
      </w:r>
      <w:r w:rsidR="001A2A76" w:rsidRPr="00B72EB2">
        <w:rPr>
          <w:rFonts w:ascii="Tahoma" w:eastAsia="Arial" w:hAnsi="Tahoma" w:cs="Tahoma"/>
          <w:b/>
          <w:sz w:val="20"/>
          <w:szCs w:val="20"/>
        </w:rPr>
        <w:t xml:space="preserve">, </w:t>
      </w:r>
      <w:r w:rsidR="00830752" w:rsidRPr="00B72EB2">
        <w:rPr>
          <w:rFonts w:ascii="Tahoma" w:eastAsia="Arial" w:hAnsi="Tahoma" w:cs="Tahoma"/>
          <w:b/>
          <w:sz w:val="20"/>
          <w:szCs w:val="20"/>
        </w:rPr>
        <w:t>1</w:t>
      </w:r>
      <w:r w:rsidR="00D615A0" w:rsidRPr="00B72EB2">
        <w:rPr>
          <w:rFonts w:ascii="Tahoma" w:eastAsia="Arial" w:hAnsi="Tahoma" w:cs="Tahoma"/>
          <w:b/>
          <w:sz w:val="20"/>
          <w:szCs w:val="20"/>
        </w:rPr>
        <w:t>7</w:t>
      </w:r>
      <w:r w:rsidR="00380B8C" w:rsidRPr="00B72EB2">
        <w:rPr>
          <w:rFonts w:ascii="Tahoma" w:eastAsia="Arial" w:hAnsi="Tahoma" w:cs="Tahoma"/>
          <w:b/>
          <w:sz w:val="20"/>
          <w:szCs w:val="20"/>
        </w:rPr>
        <w:t xml:space="preserve"> de </w:t>
      </w:r>
      <w:r w:rsidR="00830752" w:rsidRPr="00B72EB2">
        <w:rPr>
          <w:rFonts w:ascii="Tahoma" w:eastAsia="Arial" w:hAnsi="Tahoma" w:cs="Tahoma"/>
          <w:b/>
          <w:sz w:val="20"/>
          <w:szCs w:val="20"/>
        </w:rPr>
        <w:t xml:space="preserve">enero </w:t>
      </w:r>
      <w:r w:rsidR="001A2A76" w:rsidRPr="00B72EB2">
        <w:rPr>
          <w:rFonts w:ascii="Tahoma" w:eastAsia="Arial" w:hAnsi="Tahoma" w:cs="Tahoma"/>
          <w:b/>
          <w:sz w:val="20"/>
          <w:szCs w:val="20"/>
        </w:rPr>
        <w:t>de 202</w:t>
      </w:r>
      <w:r w:rsidR="00830752" w:rsidRPr="00B72EB2">
        <w:rPr>
          <w:rFonts w:ascii="Tahoma" w:eastAsia="Arial" w:hAnsi="Tahoma" w:cs="Tahoma"/>
          <w:b/>
          <w:sz w:val="20"/>
          <w:szCs w:val="20"/>
        </w:rPr>
        <w:t>4</w:t>
      </w:r>
      <w:r w:rsidR="001A2A76" w:rsidRPr="00B72EB2">
        <w:rPr>
          <w:rFonts w:ascii="Tahoma" w:eastAsia="Arial" w:hAnsi="Tahoma" w:cs="Tahoma"/>
          <w:b/>
          <w:sz w:val="20"/>
          <w:szCs w:val="20"/>
        </w:rPr>
        <w:t>.-</w:t>
      </w:r>
      <w:bookmarkStart w:id="0" w:name="_Hlk113557102"/>
      <w:bookmarkStart w:id="1" w:name="_Hlk90223537"/>
      <w:bookmarkStart w:id="2" w:name="_Hlk89449303"/>
      <w:bookmarkStart w:id="3" w:name="_Hlk89449332"/>
      <w:r w:rsidR="005D1AE9" w:rsidRPr="00B72EB2">
        <w:rPr>
          <w:rFonts w:ascii="Tahoma" w:eastAsia="Arial" w:hAnsi="Tahoma" w:cs="Tahoma"/>
          <w:b/>
          <w:sz w:val="20"/>
          <w:szCs w:val="20"/>
        </w:rPr>
        <w:t xml:space="preserve"> </w:t>
      </w:r>
      <w:bookmarkStart w:id="4" w:name="_Hlk90222956"/>
      <w:bookmarkStart w:id="5" w:name="_Hlk90207554"/>
      <w:bookmarkEnd w:id="0"/>
      <w:bookmarkEnd w:id="1"/>
      <w:bookmarkEnd w:id="2"/>
      <w:bookmarkEnd w:id="3"/>
      <w:r w:rsidR="001420FA" w:rsidRPr="00B72EB2">
        <w:rPr>
          <w:rFonts w:ascii="Tahoma" w:eastAsia="Arial" w:hAnsi="Tahoma" w:cs="Tahoma"/>
          <w:bCs/>
          <w:sz w:val="20"/>
          <w:szCs w:val="20"/>
        </w:rPr>
        <w:t xml:space="preserve">Los nuevos combustibles renovables, como el hidrógeno verde o los biocombustibles, podrán crear </w:t>
      </w:r>
      <w:r w:rsidR="00830752" w:rsidRPr="00B72EB2">
        <w:rPr>
          <w:rFonts w:ascii="Tahoma" w:eastAsia="Arial" w:hAnsi="Tahoma" w:cs="Tahoma"/>
          <w:bCs/>
          <w:sz w:val="20"/>
          <w:szCs w:val="20"/>
        </w:rPr>
        <w:t xml:space="preserve">1,7 millones de nuevos empleos y </w:t>
      </w:r>
      <w:r w:rsidR="008F73F9" w:rsidRPr="00B72EB2">
        <w:rPr>
          <w:rFonts w:ascii="Tahoma" w:eastAsia="Arial" w:hAnsi="Tahoma" w:cs="Tahoma"/>
          <w:bCs/>
          <w:sz w:val="20"/>
          <w:szCs w:val="20"/>
        </w:rPr>
        <w:t xml:space="preserve">un </w:t>
      </w:r>
      <w:r w:rsidR="00E870D3" w:rsidRPr="00B72EB2">
        <w:rPr>
          <w:rFonts w:ascii="Tahoma" w:eastAsia="Arial" w:hAnsi="Tahoma" w:cs="Tahoma"/>
          <w:bCs/>
          <w:sz w:val="20"/>
          <w:szCs w:val="20"/>
        </w:rPr>
        <w:t>crecimiento del</w:t>
      </w:r>
      <w:r w:rsidR="008F73F9" w:rsidRPr="00B72EB2">
        <w:rPr>
          <w:rFonts w:ascii="Tahoma" w:eastAsia="Arial" w:hAnsi="Tahoma" w:cs="Tahoma"/>
          <w:bCs/>
          <w:sz w:val="20"/>
          <w:szCs w:val="20"/>
        </w:rPr>
        <w:t xml:space="preserve"> </w:t>
      </w:r>
      <w:r w:rsidR="00830752" w:rsidRPr="00B72EB2">
        <w:rPr>
          <w:rFonts w:ascii="Tahoma" w:eastAsia="Arial" w:hAnsi="Tahoma" w:cs="Tahoma"/>
          <w:bCs/>
          <w:sz w:val="20"/>
          <w:szCs w:val="20"/>
        </w:rPr>
        <w:t>PIB</w:t>
      </w:r>
      <w:r w:rsidR="00690007" w:rsidRPr="00B72EB2">
        <w:rPr>
          <w:rFonts w:ascii="Tahoma" w:eastAsia="Arial" w:hAnsi="Tahoma" w:cs="Tahoma"/>
          <w:bCs/>
          <w:sz w:val="20"/>
          <w:szCs w:val="20"/>
        </w:rPr>
        <w:t xml:space="preserve"> </w:t>
      </w:r>
      <w:r w:rsidR="00494AD9" w:rsidRPr="00B72EB2">
        <w:rPr>
          <w:rFonts w:ascii="Tahoma" w:eastAsia="Arial" w:hAnsi="Tahoma" w:cs="Tahoma"/>
          <w:bCs/>
          <w:sz w:val="20"/>
          <w:szCs w:val="20"/>
        </w:rPr>
        <w:t xml:space="preserve">europeo </w:t>
      </w:r>
      <w:r w:rsidR="00690007" w:rsidRPr="00B72EB2">
        <w:rPr>
          <w:rFonts w:ascii="Tahoma" w:eastAsia="Arial" w:hAnsi="Tahoma" w:cs="Tahoma"/>
          <w:bCs/>
          <w:sz w:val="20"/>
          <w:szCs w:val="20"/>
        </w:rPr>
        <w:t>de</w:t>
      </w:r>
      <w:r w:rsidR="00494AD9" w:rsidRPr="00B72EB2">
        <w:rPr>
          <w:rFonts w:ascii="Tahoma" w:eastAsia="Arial" w:hAnsi="Tahoma" w:cs="Tahoma"/>
          <w:bCs/>
          <w:sz w:val="20"/>
          <w:szCs w:val="20"/>
        </w:rPr>
        <w:t xml:space="preserve"> 145.000 millones de euros hasta 2040</w:t>
      </w:r>
      <w:r w:rsidR="00690007" w:rsidRPr="00B72EB2">
        <w:rPr>
          <w:rFonts w:ascii="Tahoma" w:eastAsia="Arial" w:hAnsi="Tahoma" w:cs="Tahoma"/>
          <w:bCs/>
          <w:sz w:val="20"/>
          <w:szCs w:val="20"/>
        </w:rPr>
        <w:t xml:space="preserve">. </w:t>
      </w:r>
      <w:r w:rsidR="008F73F9" w:rsidRPr="00B72EB2">
        <w:rPr>
          <w:rFonts w:ascii="Tahoma" w:eastAsia="Arial" w:hAnsi="Tahoma" w:cs="Tahoma"/>
          <w:bCs/>
          <w:sz w:val="20"/>
          <w:szCs w:val="20"/>
        </w:rPr>
        <w:t xml:space="preserve">Así se desprende </w:t>
      </w:r>
      <w:r w:rsidR="00830752" w:rsidRPr="00B72EB2">
        <w:rPr>
          <w:rFonts w:ascii="Tahoma" w:eastAsia="Arial" w:hAnsi="Tahoma" w:cs="Tahoma"/>
          <w:bCs/>
          <w:sz w:val="20"/>
          <w:szCs w:val="20"/>
        </w:rPr>
        <w:t>de</w:t>
      </w:r>
      <w:r w:rsidR="008F73F9" w:rsidRPr="00B72EB2">
        <w:rPr>
          <w:rFonts w:ascii="Tahoma" w:eastAsia="Arial" w:hAnsi="Tahoma" w:cs="Tahoma"/>
          <w:bCs/>
          <w:sz w:val="20"/>
          <w:szCs w:val="20"/>
        </w:rPr>
        <w:t>l</w:t>
      </w:r>
      <w:r w:rsidR="00830752" w:rsidRPr="00B72EB2">
        <w:rPr>
          <w:rFonts w:ascii="Tahoma" w:eastAsia="Arial" w:hAnsi="Tahoma" w:cs="Tahoma"/>
          <w:bCs/>
          <w:sz w:val="20"/>
          <w:szCs w:val="20"/>
        </w:rPr>
        <w:t xml:space="preserve"> estudio “</w:t>
      </w:r>
      <w:r w:rsidR="00830752" w:rsidRPr="00B72EB2">
        <w:rPr>
          <w:rFonts w:ascii="Tahoma" w:eastAsia="Arial" w:hAnsi="Tahoma" w:cs="Tahoma"/>
          <w:b/>
          <w:sz w:val="20"/>
          <w:szCs w:val="20"/>
        </w:rPr>
        <w:t xml:space="preserve">Las moléculas verdes: </w:t>
      </w:r>
      <w:r w:rsidR="008F73F9" w:rsidRPr="00B72EB2">
        <w:rPr>
          <w:rFonts w:ascii="Tahoma" w:eastAsia="Arial" w:hAnsi="Tahoma" w:cs="Tahoma"/>
          <w:b/>
          <w:sz w:val="20"/>
          <w:szCs w:val="20"/>
        </w:rPr>
        <w:t>la inminente revolución del mercado del empleo en Europa</w:t>
      </w:r>
      <w:r w:rsidR="00830752" w:rsidRPr="00B72EB2">
        <w:rPr>
          <w:rFonts w:ascii="Tahoma" w:eastAsia="Arial" w:hAnsi="Tahoma" w:cs="Tahoma"/>
          <w:bCs/>
          <w:sz w:val="20"/>
          <w:szCs w:val="20"/>
        </w:rPr>
        <w:t xml:space="preserve">”, realizado por </w:t>
      </w:r>
      <w:r w:rsidR="00830752" w:rsidRPr="00B72EB2">
        <w:rPr>
          <w:rFonts w:ascii="Tahoma" w:eastAsia="Arial" w:hAnsi="Tahoma" w:cs="Tahoma"/>
          <w:b/>
          <w:sz w:val="20"/>
          <w:szCs w:val="20"/>
        </w:rPr>
        <w:t>ManpowerGroup</w:t>
      </w:r>
      <w:r w:rsidR="00830752" w:rsidRPr="00B72EB2">
        <w:rPr>
          <w:rFonts w:ascii="Tahoma" w:eastAsia="Arial" w:hAnsi="Tahoma" w:cs="Tahoma"/>
          <w:bCs/>
          <w:sz w:val="20"/>
          <w:szCs w:val="20"/>
        </w:rPr>
        <w:t xml:space="preserve"> y </w:t>
      </w:r>
      <w:r w:rsidR="00830752" w:rsidRPr="00B72EB2">
        <w:rPr>
          <w:rFonts w:ascii="Tahoma" w:eastAsia="Arial" w:hAnsi="Tahoma" w:cs="Tahoma"/>
          <w:b/>
          <w:sz w:val="20"/>
          <w:szCs w:val="20"/>
        </w:rPr>
        <w:t>Cepsa</w:t>
      </w:r>
      <w:r w:rsidR="008F73F9" w:rsidRPr="00B72EB2">
        <w:rPr>
          <w:rFonts w:ascii="Tahoma" w:eastAsia="Arial" w:hAnsi="Tahoma" w:cs="Tahoma"/>
          <w:bCs/>
          <w:sz w:val="20"/>
          <w:szCs w:val="20"/>
        </w:rPr>
        <w:t xml:space="preserve"> y </w:t>
      </w:r>
      <w:r w:rsidR="00830752" w:rsidRPr="00B72EB2">
        <w:rPr>
          <w:rFonts w:ascii="Tahoma" w:eastAsia="Arial" w:hAnsi="Tahoma" w:cs="Tahoma"/>
          <w:bCs/>
          <w:sz w:val="20"/>
          <w:szCs w:val="20"/>
        </w:rPr>
        <w:t xml:space="preserve">que se ha presentado hoy en </w:t>
      </w:r>
      <w:r w:rsidR="008F73F9" w:rsidRPr="00B72EB2">
        <w:rPr>
          <w:rFonts w:ascii="Tahoma" w:eastAsia="Arial" w:hAnsi="Tahoma" w:cs="Tahoma"/>
          <w:bCs/>
          <w:sz w:val="20"/>
          <w:szCs w:val="20"/>
        </w:rPr>
        <w:t>la reunión en Davos (Suiza) d</w:t>
      </w:r>
      <w:r w:rsidR="00830752" w:rsidRPr="00B72EB2">
        <w:rPr>
          <w:rFonts w:ascii="Tahoma" w:eastAsia="Arial" w:hAnsi="Tahoma" w:cs="Tahoma"/>
          <w:bCs/>
          <w:sz w:val="20"/>
          <w:szCs w:val="20"/>
        </w:rPr>
        <w:t>el Foro Económico Mundial.</w:t>
      </w:r>
    </w:p>
    <w:p w14:paraId="3A853255" w14:textId="17CF1977" w:rsidR="00E44C05" w:rsidRPr="00B72EB2" w:rsidRDefault="008460B4" w:rsidP="006034F4">
      <w:pPr>
        <w:tabs>
          <w:tab w:val="right" w:pos="8838"/>
        </w:tabs>
        <w:autoSpaceDE w:val="0"/>
        <w:autoSpaceDN w:val="0"/>
        <w:adjustRightInd w:val="0"/>
        <w:spacing w:before="120" w:line="276" w:lineRule="auto"/>
        <w:jc w:val="both"/>
        <w:rPr>
          <w:rFonts w:ascii="Tahoma" w:eastAsia="Arial" w:hAnsi="Tahoma" w:cs="Tahoma"/>
          <w:bCs/>
          <w:sz w:val="20"/>
          <w:szCs w:val="20"/>
        </w:rPr>
      </w:pPr>
      <w:r w:rsidRPr="00B72EB2">
        <w:rPr>
          <w:rFonts w:ascii="Tahoma" w:eastAsia="Arial" w:hAnsi="Tahoma" w:cs="Tahoma"/>
          <w:bCs/>
          <w:sz w:val="20"/>
          <w:szCs w:val="20"/>
        </w:rPr>
        <w:t xml:space="preserve">El informe anticipa que España liderará </w:t>
      </w:r>
      <w:r w:rsidR="00D37A39" w:rsidRPr="00B72EB2">
        <w:rPr>
          <w:rFonts w:ascii="Tahoma" w:eastAsia="Arial" w:hAnsi="Tahoma" w:cs="Tahoma"/>
          <w:bCs/>
          <w:sz w:val="20"/>
          <w:szCs w:val="20"/>
        </w:rPr>
        <w:t xml:space="preserve">en las próximas dos décadas </w:t>
      </w:r>
      <w:r w:rsidRPr="00B72EB2">
        <w:rPr>
          <w:rFonts w:ascii="Tahoma" w:eastAsia="Arial" w:hAnsi="Tahoma" w:cs="Tahoma"/>
          <w:bCs/>
          <w:sz w:val="20"/>
          <w:szCs w:val="20"/>
        </w:rPr>
        <w:t xml:space="preserve">la producción de hidrógeno verde y el crecimiento del empleo relacionado. </w:t>
      </w:r>
      <w:r w:rsidR="001B4782" w:rsidRPr="00B72EB2">
        <w:rPr>
          <w:rFonts w:ascii="Tahoma" w:eastAsia="Arial" w:hAnsi="Tahoma" w:cs="Tahoma"/>
          <w:bCs/>
          <w:sz w:val="20"/>
          <w:szCs w:val="20"/>
        </w:rPr>
        <w:t>El efecto tractor de la</w:t>
      </w:r>
      <w:r w:rsidRPr="00B72EB2">
        <w:rPr>
          <w:rFonts w:ascii="Tahoma" w:eastAsia="Arial" w:hAnsi="Tahoma" w:cs="Tahoma"/>
          <w:bCs/>
          <w:sz w:val="20"/>
          <w:szCs w:val="20"/>
        </w:rPr>
        <w:t xml:space="preserve"> industria </w:t>
      </w:r>
      <w:r w:rsidR="00502D45" w:rsidRPr="00B72EB2">
        <w:rPr>
          <w:rFonts w:ascii="Tahoma" w:eastAsia="Arial" w:hAnsi="Tahoma" w:cs="Tahoma"/>
          <w:bCs/>
          <w:sz w:val="20"/>
          <w:szCs w:val="20"/>
        </w:rPr>
        <w:t xml:space="preserve">española </w:t>
      </w:r>
      <w:r w:rsidRPr="00B72EB2">
        <w:rPr>
          <w:rFonts w:ascii="Tahoma" w:eastAsia="Arial" w:hAnsi="Tahoma" w:cs="Tahoma"/>
          <w:bCs/>
          <w:sz w:val="20"/>
          <w:szCs w:val="20"/>
        </w:rPr>
        <w:t xml:space="preserve">vinculada a las moléculas verdes </w:t>
      </w:r>
      <w:r w:rsidR="0051114A" w:rsidRPr="00B72EB2">
        <w:rPr>
          <w:rFonts w:ascii="Tahoma" w:eastAsia="Arial" w:hAnsi="Tahoma" w:cs="Tahoma"/>
          <w:bCs/>
          <w:sz w:val="20"/>
          <w:szCs w:val="20"/>
        </w:rPr>
        <w:t xml:space="preserve">generará </w:t>
      </w:r>
      <w:r w:rsidRPr="00B72EB2">
        <w:rPr>
          <w:rFonts w:ascii="Tahoma" w:eastAsia="Arial" w:hAnsi="Tahoma" w:cs="Tahoma"/>
          <w:bCs/>
          <w:sz w:val="20"/>
          <w:szCs w:val="20"/>
        </w:rPr>
        <w:t>más de</w:t>
      </w:r>
      <w:r w:rsidR="00D37A39" w:rsidRPr="00B72EB2">
        <w:rPr>
          <w:rFonts w:ascii="Tahoma" w:eastAsia="Arial" w:hAnsi="Tahoma" w:cs="Tahoma"/>
          <w:bCs/>
          <w:sz w:val="20"/>
          <w:szCs w:val="20"/>
        </w:rPr>
        <w:t xml:space="preserve"> 116.000</w:t>
      </w:r>
      <w:r w:rsidR="009D2F34" w:rsidRPr="00B72EB2">
        <w:rPr>
          <w:rFonts w:ascii="Tahoma" w:eastAsia="Arial" w:hAnsi="Tahoma" w:cs="Tahoma"/>
          <w:bCs/>
          <w:sz w:val="20"/>
          <w:szCs w:val="20"/>
        </w:rPr>
        <w:t xml:space="preserve"> puestos de trabajo</w:t>
      </w:r>
      <w:r w:rsidR="0082720B" w:rsidRPr="00B72EB2">
        <w:rPr>
          <w:rFonts w:ascii="Tahoma" w:eastAsia="Arial" w:hAnsi="Tahoma" w:cs="Tahoma"/>
          <w:bCs/>
          <w:sz w:val="20"/>
          <w:szCs w:val="20"/>
        </w:rPr>
        <w:t xml:space="preserve"> en esta década y </w:t>
      </w:r>
      <w:r w:rsidRPr="00B72EB2">
        <w:rPr>
          <w:rFonts w:ascii="Tahoma" w:eastAsia="Arial" w:hAnsi="Tahoma" w:cs="Tahoma"/>
          <w:bCs/>
          <w:sz w:val="20"/>
          <w:szCs w:val="20"/>
        </w:rPr>
        <w:t>181.000</w:t>
      </w:r>
      <w:r w:rsidR="0082720B" w:rsidRPr="00B72EB2">
        <w:rPr>
          <w:rFonts w:ascii="Tahoma" w:eastAsia="Arial" w:hAnsi="Tahoma" w:cs="Tahoma"/>
          <w:bCs/>
          <w:sz w:val="20"/>
          <w:szCs w:val="20"/>
        </w:rPr>
        <w:t xml:space="preserve"> hasta</w:t>
      </w:r>
      <w:r w:rsidR="004C125B" w:rsidRPr="00B72EB2">
        <w:rPr>
          <w:rFonts w:ascii="Tahoma" w:eastAsia="Arial" w:hAnsi="Tahoma" w:cs="Tahoma"/>
          <w:bCs/>
          <w:sz w:val="20"/>
          <w:szCs w:val="20"/>
        </w:rPr>
        <w:t xml:space="preserve"> 2040</w:t>
      </w:r>
      <w:r w:rsidR="0082720B" w:rsidRPr="00B72EB2">
        <w:rPr>
          <w:rFonts w:ascii="Tahoma" w:eastAsia="Arial" w:hAnsi="Tahoma" w:cs="Tahoma"/>
          <w:bCs/>
          <w:sz w:val="20"/>
          <w:szCs w:val="20"/>
        </w:rPr>
        <w:t>,</w:t>
      </w:r>
      <w:r w:rsidR="004C125B" w:rsidRPr="00B72EB2">
        <w:rPr>
          <w:rFonts w:ascii="Tahoma" w:eastAsia="Arial" w:hAnsi="Tahoma" w:cs="Tahoma"/>
          <w:bCs/>
          <w:sz w:val="20"/>
          <w:szCs w:val="20"/>
        </w:rPr>
        <w:t xml:space="preserve"> </w:t>
      </w:r>
      <w:r w:rsidRPr="00B72EB2">
        <w:rPr>
          <w:rFonts w:ascii="Tahoma" w:eastAsia="Arial" w:hAnsi="Tahoma" w:cs="Tahoma"/>
          <w:bCs/>
          <w:sz w:val="20"/>
          <w:szCs w:val="20"/>
        </w:rPr>
        <w:t xml:space="preserve">que corresponden al 11% </w:t>
      </w:r>
      <w:r w:rsidR="00C61441" w:rsidRPr="00B72EB2">
        <w:rPr>
          <w:rFonts w:ascii="Tahoma" w:eastAsia="Arial" w:hAnsi="Tahoma" w:cs="Tahoma"/>
          <w:bCs/>
          <w:sz w:val="20"/>
          <w:szCs w:val="20"/>
        </w:rPr>
        <w:t xml:space="preserve">del empleo </w:t>
      </w:r>
      <w:r w:rsidRPr="00B72EB2">
        <w:rPr>
          <w:rFonts w:ascii="Tahoma" w:eastAsia="Arial" w:hAnsi="Tahoma" w:cs="Tahoma"/>
          <w:bCs/>
          <w:sz w:val="20"/>
          <w:szCs w:val="20"/>
        </w:rPr>
        <w:t>total generado en la UE y Reino Unido.</w:t>
      </w:r>
      <w:r w:rsidR="00C61441" w:rsidRPr="00B72EB2">
        <w:rPr>
          <w:rFonts w:ascii="Tahoma" w:eastAsia="Arial" w:hAnsi="Tahoma" w:cs="Tahoma"/>
          <w:bCs/>
          <w:sz w:val="20"/>
          <w:szCs w:val="20"/>
        </w:rPr>
        <w:t xml:space="preserve"> En términos de crecimiento económico (PIB), el sector </w:t>
      </w:r>
      <w:r w:rsidR="00AE523F" w:rsidRPr="00B72EB2">
        <w:rPr>
          <w:rFonts w:ascii="Tahoma" w:eastAsia="Arial" w:hAnsi="Tahoma" w:cs="Tahoma"/>
          <w:bCs/>
          <w:sz w:val="20"/>
          <w:szCs w:val="20"/>
        </w:rPr>
        <w:t xml:space="preserve">aportará 15.600 millones de euros adicionales hasta 2040, esto supondría un </w:t>
      </w:r>
      <w:r w:rsidR="00365ECB" w:rsidRPr="00B72EB2">
        <w:rPr>
          <w:rFonts w:ascii="Tahoma" w:eastAsia="Arial" w:hAnsi="Tahoma" w:cs="Tahoma"/>
          <w:bCs/>
          <w:sz w:val="20"/>
          <w:szCs w:val="20"/>
        </w:rPr>
        <w:t xml:space="preserve">incremento del </w:t>
      </w:r>
      <w:r w:rsidR="00AE523F" w:rsidRPr="00B72EB2">
        <w:rPr>
          <w:rFonts w:ascii="Tahoma" w:eastAsia="Arial" w:hAnsi="Tahoma" w:cs="Tahoma"/>
          <w:bCs/>
          <w:sz w:val="20"/>
          <w:szCs w:val="20"/>
        </w:rPr>
        <w:t xml:space="preserve">1% </w:t>
      </w:r>
      <w:r w:rsidR="00365ECB" w:rsidRPr="00B72EB2">
        <w:rPr>
          <w:rFonts w:ascii="Tahoma" w:eastAsia="Arial" w:hAnsi="Tahoma" w:cs="Tahoma"/>
          <w:bCs/>
          <w:sz w:val="20"/>
          <w:szCs w:val="20"/>
        </w:rPr>
        <w:t>respecto al PIB del 2022.</w:t>
      </w:r>
    </w:p>
    <w:p w14:paraId="3759A8CA" w14:textId="114A1D73" w:rsidR="00E44C05" w:rsidRPr="00B72EB2" w:rsidRDefault="00E44C05" w:rsidP="006034F4">
      <w:pPr>
        <w:tabs>
          <w:tab w:val="right" w:pos="8838"/>
        </w:tabs>
        <w:autoSpaceDE w:val="0"/>
        <w:autoSpaceDN w:val="0"/>
        <w:adjustRightInd w:val="0"/>
        <w:spacing w:before="120" w:line="276" w:lineRule="auto"/>
        <w:jc w:val="both"/>
        <w:rPr>
          <w:rFonts w:ascii="Tahoma" w:eastAsia="Arial" w:hAnsi="Tahoma" w:cs="Tahoma"/>
          <w:bCs/>
          <w:sz w:val="20"/>
          <w:szCs w:val="20"/>
        </w:rPr>
      </w:pPr>
      <w:r w:rsidRPr="00B72EB2">
        <w:rPr>
          <w:rFonts w:ascii="Tahoma" w:eastAsia="Arial" w:hAnsi="Tahoma" w:cs="Tahoma"/>
          <w:bCs/>
          <w:sz w:val="20"/>
          <w:szCs w:val="20"/>
        </w:rPr>
        <w:t xml:space="preserve">España es el país donde los nuevos empleos requieren de más competencias vinculadas a la transición energética a 2040, con el 55% de las nuevas posiciones. Además, el estudio señala que </w:t>
      </w:r>
      <w:r w:rsidR="00BB7A78" w:rsidRPr="00B72EB2">
        <w:rPr>
          <w:rFonts w:ascii="Tahoma" w:eastAsia="Arial" w:hAnsi="Tahoma" w:cs="Tahoma"/>
          <w:bCs/>
          <w:sz w:val="20"/>
          <w:szCs w:val="20"/>
        </w:rPr>
        <w:t>se reduce la</w:t>
      </w:r>
      <w:r w:rsidR="0084013E" w:rsidRPr="00B72EB2">
        <w:rPr>
          <w:rFonts w:ascii="Tahoma" w:eastAsia="Arial" w:hAnsi="Tahoma" w:cs="Tahoma"/>
          <w:bCs/>
          <w:sz w:val="20"/>
          <w:szCs w:val="20"/>
        </w:rPr>
        <w:t xml:space="preserve"> brecha </w:t>
      </w:r>
      <w:r w:rsidR="00534A1A" w:rsidRPr="00B72EB2">
        <w:rPr>
          <w:rFonts w:ascii="Tahoma" w:eastAsia="Arial" w:hAnsi="Tahoma" w:cs="Tahoma"/>
          <w:bCs/>
          <w:sz w:val="20"/>
          <w:szCs w:val="20"/>
        </w:rPr>
        <w:t>de género</w:t>
      </w:r>
      <w:r w:rsidR="000E7689" w:rsidRPr="00B72EB2">
        <w:rPr>
          <w:rFonts w:ascii="Tahoma" w:eastAsia="Arial" w:hAnsi="Tahoma" w:cs="Tahoma"/>
          <w:bCs/>
          <w:sz w:val="20"/>
          <w:szCs w:val="20"/>
        </w:rPr>
        <w:t xml:space="preserve"> que existe en la actualidad</w:t>
      </w:r>
      <w:r w:rsidR="00304ED3" w:rsidRPr="00B72EB2">
        <w:rPr>
          <w:rFonts w:ascii="Tahoma" w:eastAsia="Arial" w:hAnsi="Tahoma" w:cs="Tahoma"/>
          <w:bCs/>
          <w:sz w:val="20"/>
          <w:szCs w:val="20"/>
        </w:rPr>
        <w:t xml:space="preserve"> en el sector energético</w:t>
      </w:r>
      <w:r w:rsidR="000E7689" w:rsidRPr="00B72EB2">
        <w:rPr>
          <w:rFonts w:ascii="Tahoma" w:eastAsia="Arial" w:hAnsi="Tahoma" w:cs="Tahoma"/>
          <w:bCs/>
          <w:sz w:val="20"/>
          <w:szCs w:val="20"/>
        </w:rPr>
        <w:t xml:space="preserve">, </w:t>
      </w:r>
      <w:r w:rsidR="004A36A5" w:rsidRPr="00B72EB2">
        <w:rPr>
          <w:rFonts w:ascii="Tahoma" w:eastAsia="Arial" w:hAnsi="Tahoma" w:cs="Tahoma"/>
          <w:bCs/>
          <w:sz w:val="20"/>
          <w:szCs w:val="20"/>
        </w:rPr>
        <w:t>alcanzando el 37% de representación de mujeres en</w:t>
      </w:r>
      <w:r w:rsidR="00304ED3" w:rsidRPr="00B72EB2">
        <w:rPr>
          <w:rFonts w:ascii="Tahoma" w:eastAsia="Arial" w:hAnsi="Tahoma" w:cs="Tahoma"/>
          <w:bCs/>
          <w:sz w:val="20"/>
          <w:szCs w:val="20"/>
        </w:rPr>
        <w:t xml:space="preserve"> la industria de las moléculas verdes. Esto </w:t>
      </w:r>
      <w:proofErr w:type="spellStart"/>
      <w:r w:rsidR="00304ED3" w:rsidRPr="00B72EB2">
        <w:rPr>
          <w:rFonts w:ascii="Tahoma" w:eastAsia="Arial" w:hAnsi="Tahoma" w:cs="Tahoma"/>
          <w:bCs/>
          <w:sz w:val="20"/>
          <w:szCs w:val="20"/>
        </w:rPr>
        <w:t>de</w:t>
      </w:r>
      <w:proofErr w:type="spellEnd"/>
      <w:r w:rsidR="00304ED3" w:rsidRPr="00B72EB2">
        <w:rPr>
          <w:rFonts w:ascii="Tahoma" w:eastAsia="Arial" w:hAnsi="Tahoma" w:cs="Tahoma"/>
          <w:bCs/>
          <w:sz w:val="20"/>
          <w:szCs w:val="20"/>
        </w:rPr>
        <w:t xml:space="preserve"> debe a un ritmo mayor de incorporación de mujeres, </w:t>
      </w:r>
      <w:r w:rsidR="004A7E10" w:rsidRPr="00B72EB2">
        <w:rPr>
          <w:rFonts w:ascii="Tahoma" w:eastAsia="Arial" w:hAnsi="Tahoma" w:cs="Tahoma"/>
          <w:bCs/>
          <w:sz w:val="20"/>
          <w:szCs w:val="20"/>
        </w:rPr>
        <w:t>que</w:t>
      </w:r>
      <w:r w:rsidR="00304ED3" w:rsidRPr="00B72EB2">
        <w:rPr>
          <w:rFonts w:ascii="Tahoma" w:eastAsia="Arial" w:hAnsi="Tahoma" w:cs="Tahoma"/>
          <w:bCs/>
          <w:sz w:val="20"/>
          <w:szCs w:val="20"/>
        </w:rPr>
        <w:t xml:space="preserve"> dupli</w:t>
      </w:r>
      <w:r w:rsidR="004A7E10" w:rsidRPr="00B72EB2">
        <w:rPr>
          <w:rFonts w:ascii="Tahoma" w:eastAsia="Arial" w:hAnsi="Tahoma" w:cs="Tahoma"/>
          <w:bCs/>
          <w:sz w:val="20"/>
          <w:szCs w:val="20"/>
        </w:rPr>
        <w:t>caría</w:t>
      </w:r>
      <w:r w:rsidR="00304ED3" w:rsidRPr="00B72EB2">
        <w:rPr>
          <w:rFonts w:ascii="Tahoma" w:eastAsia="Arial" w:hAnsi="Tahoma" w:cs="Tahoma"/>
          <w:bCs/>
          <w:sz w:val="20"/>
          <w:szCs w:val="20"/>
        </w:rPr>
        <w:t xml:space="preserve"> </w:t>
      </w:r>
      <w:r w:rsidR="004A7E10" w:rsidRPr="00B72EB2">
        <w:rPr>
          <w:rFonts w:ascii="Tahoma" w:eastAsia="Arial" w:hAnsi="Tahoma" w:cs="Tahoma"/>
          <w:bCs/>
          <w:sz w:val="20"/>
          <w:szCs w:val="20"/>
        </w:rPr>
        <w:t xml:space="preserve">su incorporación </w:t>
      </w:r>
      <w:r w:rsidR="00842248" w:rsidRPr="00B72EB2">
        <w:rPr>
          <w:rFonts w:ascii="Tahoma" w:eastAsia="Arial" w:hAnsi="Tahoma" w:cs="Tahoma"/>
          <w:bCs/>
          <w:sz w:val="20"/>
          <w:szCs w:val="20"/>
        </w:rPr>
        <w:t>al de los hombres entre 2030 y 2040</w:t>
      </w:r>
      <w:r w:rsidR="00141EB5" w:rsidRPr="00B72EB2">
        <w:rPr>
          <w:rFonts w:ascii="Tahoma" w:eastAsia="Arial" w:hAnsi="Tahoma" w:cs="Tahoma"/>
          <w:bCs/>
          <w:sz w:val="20"/>
          <w:szCs w:val="20"/>
        </w:rPr>
        <w:t xml:space="preserve">, permitiendo que las mujeres </w:t>
      </w:r>
      <w:r w:rsidRPr="00B72EB2">
        <w:rPr>
          <w:rFonts w:ascii="Tahoma" w:eastAsia="Arial" w:hAnsi="Tahoma" w:cs="Tahoma"/>
          <w:bCs/>
          <w:sz w:val="20"/>
          <w:szCs w:val="20"/>
        </w:rPr>
        <w:t>ocup</w:t>
      </w:r>
      <w:r w:rsidR="00141EB5" w:rsidRPr="00B72EB2">
        <w:rPr>
          <w:rFonts w:ascii="Tahoma" w:eastAsia="Arial" w:hAnsi="Tahoma" w:cs="Tahoma"/>
          <w:bCs/>
          <w:sz w:val="20"/>
          <w:szCs w:val="20"/>
        </w:rPr>
        <w:t>en</w:t>
      </w:r>
      <w:r w:rsidRPr="00B72EB2">
        <w:rPr>
          <w:rFonts w:ascii="Tahoma" w:eastAsia="Arial" w:hAnsi="Tahoma" w:cs="Tahoma"/>
          <w:bCs/>
          <w:sz w:val="20"/>
          <w:szCs w:val="20"/>
        </w:rPr>
        <w:t xml:space="preserve"> el 5</w:t>
      </w:r>
      <w:r w:rsidR="00141EB5" w:rsidRPr="00B72EB2">
        <w:rPr>
          <w:rFonts w:ascii="Tahoma" w:eastAsia="Arial" w:hAnsi="Tahoma" w:cs="Tahoma"/>
          <w:bCs/>
          <w:sz w:val="20"/>
          <w:szCs w:val="20"/>
        </w:rPr>
        <w:t>1</w:t>
      </w:r>
      <w:r w:rsidRPr="00B72EB2">
        <w:rPr>
          <w:rFonts w:ascii="Tahoma" w:eastAsia="Arial" w:hAnsi="Tahoma" w:cs="Tahoma"/>
          <w:bCs/>
          <w:sz w:val="20"/>
          <w:szCs w:val="20"/>
        </w:rPr>
        <w:t xml:space="preserve">% de los nuevos empleos directos </w:t>
      </w:r>
      <w:r w:rsidR="005E476E" w:rsidRPr="00B72EB2">
        <w:rPr>
          <w:rFonts w:ascii="Tahoma" w:eastAsia="Arial" w:hAnsi="Tahoma" w:cs="Tahoma"/>
          <w:bCs/>
          <w:sz w:val="20"/>
          <w:szCs w:val="20"/>
        </w:rPr>
        <w:t xml:space="preserve">generados </w:t>
      </w:r>
      <w:r w:rsidRPr="00B72EB2">
        <w:rPr>
          <w:rFonts w:ascii="Tahoma" w:eastAsia="Arial" w:hAnsi="Tahoma" w:cs="Tahoma"/>
          <w:bCs/>
          <w:sz w:val="20"/>
          <w:szCs w:val="20"/>
        </w:rPr>
        <w:t xml:space="preserve">en </w:t>
      </w:r>
      <w:r w:rsidR="00C369D0" w:rsidRPr="00B72EB2">
        <w:rPr>
          <w:rFonts w:ascii="Tahoma" w:eastAsia="Arial" w:hAnsi="Tahoma" w:cs="Tahoma"/>
          <w:bCs/>
          <w:sz w:val="20"/>
          <w:szCs w:val="20"/>
        </w:rPr>
        <w:t>combustibles renovables</w:t>
      </w:r>
      <w:r w:rsidRPr="00B72EB2">
        <w:rPr>
          <w:rFonts w:ascii="Tahoma" w:eastAsia="Arial" w:hAnsi="Tahoma" w:cs="Tahoma"/>
          <w:bCs/>
          <w:sz w:val="20"/>
          <w:szCs w:val="20"/>
        </w:rPr>
        <w:t xml:space="preserve"> </w:t>
      </w:r>
      <w:r w:rsidR="00141EB5" w:rsidRPr="00B72EB2">
        <w:rPr>
          <w:rFonts w:ascii="Tahoma" w:eastAsia="Arial" w:hAnsi="Tahoma" w:cs="Tahoma"/>
          <w:bCs/>
          <w:sz w:val="20"/>
          <w:szCs w:val="20"/>
        </w:rPr>
        <w:t xml:space="preserve">al final de la década de </w:t>
      </w:r>
      <w:r w:rsidRPr="00B72EB2">
        <w:rPr>
          <w:rFonts w:ascii="Tahoma" w:eastAsia="Arial" w:hAnsi="Tahoma" w:cs="Tahoma"/>
          <w:bCs/>
          <w:sz w:val="20"/>
          <w:szCs w:val="20"/>
        </w:rPr>
        <w:t>2040.</w:t>
      </w:r>
    </w:p>
    <w:p w14:paraId="13CE2B56" w14:textId="69F30AFB" w:rsidR="0070792D" w:rsidRPr="00B72EB2" w:rsidRDefault="0070792D" w:rsidP="006034F4">
      <w:pPr>
        <w:tabs>
          <w:tab w:val="right" w:pos="8838"/>
        </w:tabs>
        <w:autoSpaceDE w:val="0"/>
        <w:autoSpaceDN w:val="0"/>
        <w:adjustRightInd w:val="0"/>
        <w:spacing w:before="120" w:line="276" w:lineRule="auto"/>
        <w:jc w:val="both"/>
        <w:rPr>
          <w:rFonts w:ascii="Tahoma" w:eastAsia="Arial" w:hAnsi="Tahoma" w:cs="Tahoma"/>
          <w:bCs/>
          <w:sz w:val="20"/>
          <w:szCs w:val="20"/>
        </w:rPr>
      </w:pPr>
      <w:r w:rsidRPr="00B72EB2">
        <w:rPr>
          <w:rFonts w:ascii="Tahoma" w:eastAsia="Arial" w:hAnsi="Tahoma" w:cs="Tahoma"/>
          <w:bCs/>
          <w:sz w:val="20"/>
          <w:szCs w:val="20"/>
        </w:rPr>
        <w:t>“</w:t>
      </w:r>
      <w:r w:rsidRPr="00B72EB2">
        <w:rPr>
          <w:rFonts w:ascii="Tahoma" w:eastAsia="Arial" w:hAnsi="Tahoma" w:cs="Tahoma"/>
          <w:bCs/>
          <w:i/>
          <w:iCs/>
          <w:sz w:val="20"/>
          <w:szCs w:val="20"/>
        </w:rPr>
        <w:t>El cambio climático plantea uno de los mayores desafíos de la humanidad, siendo la transición energética crucial para garantizar el futuro de nuestro planeta. En Cepsa pretendemos liderar esta revolución a través de nuestra propia transformación hacia una empresa de producción de moléculas verdes como el hidrogeno verde y los biocombustibles para descarbonizar sectores como el transporte y la industria pesados</w:t>
      </w:r>
      <w:r w:rsidRPr="00B72EB2">
        <w:rPr>
          <w:rFonts w:ascii="Tahoma" w:eastAsia="Arial" w:hAnsi="Tahoma" w:cs="Tahoma"/>
          <w:bCs/>
          <w:sz w:val="20"/>
          <w:szCs w:val="20"/>
        </w:rPr>
        <w:t xml:space="preserve">”, afirmó </w:t>
      </w:r>
      <w:r w:rsidRPr="00B72EB2">
        <w:rPr>
          <w:rFonts w:ascii="Tahoma" w:eastAsia="Arial" w:hAnsi="Tahoma" w:cs="Tahoma"/>
          <w:b/>
          <w:sz w:val="20"/>
          <w:szCs w:val="20"/>
        </w:rPr>
        <w:t>Maarten Wetselaar, CEO de Cepsa</w:t>
      </w:r>
      <w:r w:rsidRPr="00B72EB2">
        <w:rPr>
          <w:rFonts w:ascii="Tahoma" w:eastAsia="Arial" w:hAnsi="Tahoma" w:cs="Tahoma"/>
          <w:bCs/>
          <w:sz w:val="20"/>
          <w:szCs w:val="20"/>
        </w:rPr>
        <w:t>. “</w:t>
      </w:r>
      <w:r w:rsidRPr="00B72EB2">
        <w:rPr>
          <w:rFonts w:ascii="Tahoma" w:eastAsia="Arial" w:hAnsi="Tahoma" w:cs="Tahoma"/>
          <w:bCs/>
          <w:i/>
          <w:iCs/>
          <w:sz w:val="20"/>
          <w:szCs w:val="20"/>
        </w:rPr>
        <w:t xml:space="preserve">En esta transición, las alianzas y la inclusividad resultan fundamentales. Nuestra colaboración con ManpowerGroup representa un siguiente paso esencial para impulsar la increíble oportunidad de creación de empleo que supone la transición energética, ya que nos permitirá canalizar conocimientos estratégicos basados en datos y </w:t>
      </w:r>
      <w:r w:rsidRPr="00B72EB2">
        <w:rPr>
          <w:rFonts w:ascii="Tahoma" w:eastAsia="Arial" w:hAnsi="Tahoma" w:cs="Tahoma"/>
          <w:bCs/>
          <w:i/>
          <w:iCs/>
          <w:sz w:val="20"/>
          <w:szCs w:val="20"/>
        </w:rPr>
        <w:lastRenderedPageBreak/>
        <w:t xml:space="preserve">transformarlos en programas específicos de </w:t>
      </w:r>
      <w:proofErr w:type="spellStart"/>
      <w:r w:rsidRPr="00B72EB2">
        <w:rPr>
          <w:rFonts w:ascii="Tahoma" w:eastAsia="Arial" w:hAnsi="Tahoma" w:cs="Tahoma"/>
          <w:bCs/>
          <w:i/>
          <w:iCs/>
          <w:sz w:val="20"/>
          <w:szCs w:val="20"/>
        </w:rPr>
        <w:t>upskilling</w:t>
      </w:r>
      <w:proofErr w:type="spellEnd"/>
      <w:r w:rsidRPr="00B72EB2">
        <w:rPr>
          <w:rFonts w:ascii="Tahoma" w:eastAsia="Arial" w:hAnsi="Tahoma" w:cs="Tahoma"/>
          <w:bCs/>
          <w:i/>
          <w:iCs/>
          <w:sz w:val="20"/>
          <w:szCs w:val="20"/>
        </w:rPr>
        <w:t xml:space="preserve">, gestión y planificación de los perfiles necesarios e iniciativas de formación. Juntos podemos preparar a los profesionales con las habilidades que exigen los roles </w:t>
      </w:r>
      <w:proofErr w:type="spellStart"/>
      <w:r w:rsidRPr="00B72EB2">
        <w:rPr>
          <w:rFonts w:ascii="Tahoma" w:eastAsia="Arial" w:hAnsi="Tahoma" w:cs="Tahoma"/>
          <w:bCs/>
          <w:i/>
          <w:iCs/>
          <w:sz w:val="20"/>
          <w:szCs w:val="20"/>
        </w:rPr>
        <w:t>green</w:t>
      </w:r>
      <w:proofErr w:type="spellEnd"/>
      <w:r w:rsidRPr="00B72EB2">
        <w:rPr>
          <w:rFonts w:ascii="Tahoma" w:eastAsia="Arial" w:hAnsi="Tahoma" w:cs="Tahoma"/>
          <w:bCs/>
          <w:i/>
          <w:iCs/>
          <w:sz w:val="20"/>
          <w:szCs w:val="20"/>
        </w:rPr>
        <w:t xml:space="preserve"> emergentes y hacer accesible la oportunidad para que sea inclusiva y empodere a </w:t>
      </w:r>
      <w:r w:rsidR="00A43F61" w:rsidRPr="00B72EB2">
        <w:rPr>
          <w:rFonts w:ascii="Tahoma" w:eastAsia="Arial" w:hAnsi="Tahoma" w:cs="Tahoma"/>
          <w:bCs/>
          <w:i/>
          <w:iCs/>
          <w:sz w:val="20"/>
          <w:szCs w:val="20"/>
        </w:rPr>
        <w:t>miles</w:t>
      </w:r>
      <w:r w:rsidRPr="00B72EB2">
        <w:rPr>
          <w:rFonts w:ascii="Tahoma" w:eastAsia="Arial" w:hAnsi="Tahoma" w:cs="Tahoma"/>
          <w:bCs/>
          <w:i/>
          <w:iCs/>
          <w:sz w:val="20"/>
          <w:szCs w:val="20"/>
        </w:rPr>
        <w:t xml:space="preserve"> de profesionales</w:t>
      </w:r>
      <w:r w:rsidRPr="00B72EB2">
        <w:rPr>
          <w:rFonts w:ascii="Tahoma" w:eastAsia="Arial" w:hAnsi="Tahoma" w:cs="Tahoma"/>
          <w:bCs/>
          <w:sz w:val="20"/>
          <w:szCs w:val="20"/>
        </w:rPr>
        <w:t>”.</w:t>
      </w:r>
    </w:p>
    <w:p w14:paraId="1670AFDD" w14:textId="42C28E5C" w:rsidR="0070792D" w:rsidRDefault="0070792D" w:rsidP="006034F4">
      <w:pPr>
        <w:tabs>
          <w:tab w:val="right" w:pos="8838"/>
        </w:tabs>
        <w:autoSpaceDE w:val="0"/>
        <w:autoSpaceDN w:val="0"/>
        <w:adjustRightInd w:val="0"/>
        <w:spacing w:before="120" w:line="276" w:lineRule="auto"/>
        <w:jc w:val="both"/>
        <w:rPr>
          <w:rFonts w:ascii="Tahoma" w:eastAsia="Arial" w:hAnsi="Tahoma" w:cs="Tahoma"/>
          <w:bCs/>
          <w:sz w:val="20"/>
          <w:szCs w:val="20"/>
        </w:rPr>
      </w:pPr>
      <w:r w:rsidRPr="00B72EB2">
        <w:rPr>
          <w:rFonts w:ascii="Tahoma" w:eastAsia="Arial" w:hAnsi="Tahoma" w:cs="Tahoma"/>
          <w:bCs/>
          <w:sz w:val="20"/>
          <w:szCs w:val="20"/>
        </w:rPr>
        <w:t>“</w:t>
      </w:r>
      <w:r w:rsidRPr="00B72EB2">
        <w:rPr>
          <w:rFonts w:ascii="Tahoma" w:eastAsia="Arial" w:hAnsi="Tahoma" w:cs="Tahoma"/>
          <w:bCs/>
          <w:i/>
          <w:iCs/>
          <w:sz w:val="20"/>
          <w:szCs w:val="20"/>
        </w:rPr>
        <w:t>A medida que se hace más patente el impacto del cambio climático en todo el mundo, se hace más urgente una acción colectiva coordinada. Las naciones europeas están tomando medidas para acelerar la transición hacia una economía basada en energías renovables y lograr emisiones netas cero. Y precisamente dicho impulso de la descarbonización representa el próximo gran cambio en el mundo del empleo</w:t>
      </w:r>
      <w:r w:rsidRPr="00B72EB2">
        <w:rPr>
          <w:rFonts w:ascii="Tahoma" w:eastAsia="Arial" w:hAnsi="Tahoma" w:cs="Tahoma"/>
          <w:bCs/>
          <w:sz w:val="20"/>
          <w:szCs w:val="20"/>
        </w:rPr>
        <w:t xml:space="preserve">”, comentó </w:t>
      </w:r>
      <w:proofErr w:type="spellStart"/>
      <w:r w:rsidRPr="00B72EB2">
        <w:rPr>
          <w:rFonts w:ascii="Tahoma" w:eastAsia="Arial" w:hAnsi="Tahoma" w:cs="Tahoma"/>
          <w:b/>
          <w:sz w:val="20"/>
          <w:szCs w:val="20"/>
        </w:rPr>
        <w:t>Jonas</w:t>
      </w:r>
      <w:proofErr w:type="spellEnd"/>
      <w:r w:rsidRPr="00B72EB2">
        <w:rPr>
          <w:rFonts w:ascii="Tahoma" w:eastAsia="Arial" w:hAnsi="Tahoma" w:cs="Tahoma"/>
          <w:b/>
          <w:sz w:val="20"/>
          <w:szCs w:val="20"/>
        </w:rPr>
        <w:t xml:space="preserve"> </w:t>
      </w:r>
      <w:proofErr w:type="spellStart"/>
      <w:r w:rsidRPr="00B72EB2">
        <w:rPr>
          <w:rFonts w:ascii="Tahoma" w:eastAsia="Arial" w:hAnsi="Tahoma" w:cs="Tahoma"/>
          <w:b/>
          <w:sz w:val="20"/>
          <w:szCs w:val="20"/>
        </w:rPr>
        <w:t>Prising</w:t>
      </w:r>
      <w:proofErr w:type="spellEnd"/>
      <w:r w:rsidRPr="00B72EB2">
        <w:rPr>
          <w:rFonts w:ascii="Tahoma" w:eastAsia="Arial" w:hAnsi="Tahoma" w:cs="Tahoma"/>
          <w:b/>
          <w:sz w:val="20"/>
          <w:szCs w:val="20"/>
        </w:rPr>
        <w:t>, CEO de ManpowerGroup</w:t>
      </w:r>
      <w:r w:rsidRPr="00B72EB2">
        <w:rPr>
          <w:rFonts w:ascii="Tahoma" w:eastAsia="Arial" w:hAnsi="Tahoma" w:cs="Tahoma"/>
          <w:bCs/>
          <w:sz w:val="20"/>
          <w:szCs w:val="20"/>
        </w:rPr>
        <w:t>. “</w:t>
      </w:r>
      <w:r w:rsidRPr="00B72EB2">
        <w:rPr>
          <w:rFonts w:ascii="Tahoma" w:eastAsia="Arial" w:hAnsi="Tahoma" w:cs="Tahoma"/>
          <w:bCs/>
          <w:i/>
          <w:iCs/>
          <w:sz w:val="20"/>
          <w:szCs w:val="20"/>
        </w:rPr>
        <w:t>Estamos ante una nueva era que representa una eno</w:t>
      </w:r>
      <w:r w:rsidR="00432A4A" w:rsidRPr="00B72EB2">
        <w:rPr>
          <w:rFonts w:ascii="Tahoma" w:eastAsia="Arial" w:hAnsi="Tahoma" w:cs="Tahoma"/>
          <w:bCs/>
          <w:i/>
          <w:iCs/>
          <w:sz w:val="20"/>
          <w:szCs w:val="20"/>
        </w:rPr>
        <w:t>r</w:t>
      </w:r>
      <w:r w:rsidRPr="00B72EB2">
        <w:rPr>
          <w:rFonts w:ascii="Tahoma" w:eastAsia="Arial" w:hAnsi="Tahoma" w:cs="Tahoma"/>
          <w:bCs/>
          <w:i/>
          <w:iCs/>
          <w:sz w:val="20"/>
          <w:szCs w:val="20"/>
        </w:rPr>
        <w:t>me oportunidad, no sólo para las empresas, sino para millones de profesionales. Sin embargo, sólo se podrá aprovechar si preparamos a las personas para ello. El futuro del trabajo es verde y tenemos que trabajar juntos para garantizar el futuro del planeta y sus habitantes</w:t>
      </w:r>
      <w:r w:rsidRPr="00B72EB2">
        <w:rPr>
          <w:rFonts w:ascii="Tahoma" w:eastAsia="Arial" w:hAnsi="Tahoma" w:cs="Tahoma"/>
          <w:bCs/>
          <w:sz w:val="20"/>
          <w:szCs w:val="20"/>
        </w:rPr>
        <w:t>”.</w:t>
      </w:r>
    </w:p>
    <w:p w14:paraId="3CDC30F2" w14:textId="77777777" w:rsidR="008932B7" w:rsidRPr="00B72EB2" w:rsidRDefault="008932B7" w:rsidP="006034F4">
      <w:pPr>
        <w:tabs>
          <w:tab w:val="right" w:pos="8838"/>
        </w:tabs>
        <w:autoSpaceDE w:val="0"/>
        <w:autoSpaceDN w:val="0"/>
        <w:adjustRightInd w:val="0"/>
        <w:spacing w:before="120" w:line="276" w:lineRule="auto"/>
        <w:jc w:val="both"/>
        <w:rPr>
          <w:rFonts w:ascii="Tahoma" w:eastAsia="Arial" w:hAnsi="Tahoma" w:cs="Tahoma"/>
          <w:bCs/>
          <w:sz w:val="20"/>
          <w:szCs w:val="20"/>
        </w:rPr>
      </w:pPr>
    </w:p>
    <w:p w14:paraId="2FDAF161" w14:textId="5F4DB26B" w:rsidR="00F355CB" w:rsidRPr="00B72EB2" w:rsidRDefault="00F355CB" w:rsidP="006034F4">
      <w:pPr>
        <w:spacing w:before="100" w:beforeAutospacing="1" w:after="100" w:afterAutospacing="1" w:line="276" w:lineRule="auto"/>
        <w:jc w:val="both"/>
        <w:rPr>
          <w:rFonts w:ascii="Tahoma" w:eastAsia="Arial" w:hAnsi="Tahoma" w:cs="Tahoma"/>
          <w:b/>
          <w:sz w:val="20"/>
          <w:szCs w:val="20"/>
        </w:rPr>
      </w:pPr>
      <w:r w:rsidRPr="00B72EB2">
        <w:rPr>
          <w:rFonts w:ascii="Tahoma" w:eastAsia="Arial" w:hAnsi="Tahoma" w:cs="Tahoma"/>
          <w:b/>
          <w:sz w:val="20"/>
          <w:szCs w:val="20"/>
        </w:rPr>
        <w:t>Crece la demanda de profesionales técnicos.</w:t>
      </w:r>
    </w:p>
    <w:p w14:paraId="1AF3D8F4" w14:textId="1B77853E" w:rsidR="00F355CB" w:rsidRPr="00B72EB2" w:rsidRDefault="00432A4A" w:rsidP="006034F4">
      <w:pPr>
        <w:spacing w:before="100" w:beforeAutospacing="1" w:after="100" w:afterAutospacing="1" w:line="276" w:lineRule="auto"/>
        <w:jc w:val="both"/>
        <w:rPr>
          <w:rFonts w:ascii="Tahoma" w:eastAsia="Arial" w:hAnsi="Tahoma" w:cs="Tahoma"/>
          <w:bCs/>
          <w:sz w:val="20"/>
          <w:szCs w:val="20"/>
        </w:rPr>
      </w:pPr>
      <w:r w:rsidRPr="00B72EB2">
        <w:rPr>
          <w:rFonts w:ascii="Tahoma" w:eastAsia="Arial" w:hAnsi="Tahoma" w:cs="Tahoma"/>
          <w:bCs/>
          <w:sz w:val="20"/>
          <w:szCs w:val="20"/>
        </w:rPr>
        <w:t xml:space="preserve">Sólo </w:t>
      </w:r>
      <w:r w:rsidR="00F355CB" w:rsidRPr="00B72EB2">
        <w:rPr>
          <w:rFonts w:ascii="Tahoma" w:eastAsia="Arial" w:hAnsi="Tahoma" w:cs="Tahoma"/>
          <w:bCs/>
          <w:sz w:val="20"/>
          <w:szCs w:val="20"/>
        </w:rPr>
        <w:t>20 ocupaciones copan 8 de cada 10 nuevos empleos generados</w:t>
      </w:r>
      <w:r w:rsidR="00061C4B" w:rsidRPr="00B72EB2">
        <w:rPr>
          <w:rFonts w:ascii="Tahoma" w:eastAsia="Arial" w:hAnsi="Tahoma" w:cs="Tahoma"/>
          <w:bCs/>
          <w:sz w:val="20"/>
          <w:szCs w:val="20"/>
        </w:rPr>
        <w:t xml:space="preserve"> en la industria de los combustibles renovables</w:t>
      </w:r>
      <w:r w:rsidR="00F355CB" w:rsidRPr="00B72EB2">
        <w:rPr>
          <w:rFonts w:ascii="Tahoma" w:eastAsia="Arial" w:hAnsi="Tahoma" w:cs="Tahoma"/>
          <w:bCs/>
          <w:sz w:val="20"/>
          <w:szCs w:val="20"/>
        </w:rPr>
        <w:t>: son fundamentalmente puestos técnicos de nivel medio y superior. Hasta 2040 crecerá la demanda de científicos e ingenieros de nivel medio y alto, electricistas, directores de administración y comerciales, peones de minería y construcción, profesionales IT y operarios de metalurgia y maquinaria. Los profesionales que quieran aprovechar uno de los nuevos empleos</w:t>
      </w:r>
      <w:r w:rsidR="00230AC6" w:rsidRPr="00B72EB2">
        <w:rPr>
          <w:rFonts w:ascii="Tahoma" w:eastAsia="Arial" w:hAnsi="Tahoma" w:cs="Tahoma"/>
          <w:bCs/>
          <w:sz w:val="20"/>
          <w:szCs w:val="20"/>
        </w:rPr>
        <w:t xml:space="preserve"> que se crearán,</w:t>
      </w:r>
      <w:r w:rsidR="00F355CB" w:rsidRPr="00B72EB2">
        <w:rPr>
          <w:rFonts w:ascii="Tahoma" w:eastAsia="Arial" w:hAnsi="Tahoma" w:cs="Tahoma"/>
          <w:bCs/>
          <w:sz w:val="20"/>
          <w:szCs w:val="20"/>
        </w:rPr>
        <w:t xml:space="preserve"> han de estar formados en alguna o varias de las competencias necesarias para desempeñar estas ocupaciones. A la vez, es necesario movilizar a los profesionales de ocupaciones que perderán relevancia para que puedan reciclarse en otras más demandadas</w:t>
      </w:r>
    </w:p>
    <w:p w14:paraId="7AB54B25" w14:textId="1E83260A" w:rsidR="00830752" w:rsidRPr="00B72EB2" w:rsidRDefault="00F355CB" w:rsidP="006034F4">
      <w:pPr>
        <w:pStyle w:val="NormalWeb"/>
        <w:spacing w:line="276" w:lineRule="auto"/>
        <w:jc w:val="both"/>
        <w:rPr>
          <w:rFonts w:ascii="Tahoma" w:eastAsia="Arial" w:hAnsi="Tahoma" w:cs="Tahoma"/>
          <w:bCs/>
          <w:sz w:val="20"/>
          <w:szCs w:val="20"/>
        </w:rPr>
      </w:pPr>
      <w:r w:rsidRPr="00B72EB2">
        <w:rPr>
          <w:rFonts w:ascii="Tahoma" w:eastAsia="Arial" w:hAnsi="Tahoma" w:cs="Tahoma"/>
          <w:bCs/>
          <w:sz w:val="20"/>
          <w:szCs w:val="20"/>
        </w:rPr>
        <w:t xml:space="preserve">El 88% de los nuevos empleos generados por el hidrógeno verde y los biocombustibles a 2040 surgen en otros sectores </w:t>
      </w:r>
      <w:r w:rsidR="00230AC6" w:rsidRPr="00B72EB2">
        <w:rPr>
          <w:rFonts w:ascii="Tahoma" w:eastAsia="Arial" w:hAnsi="Tahoma" w:cs="Tahoma"/>
          <w:bCs/>
          <w:sz w:val="20"/>
          <w:szCs w:val="20"/>
        </w:rPr>
        <w:t xml:space="preserve">distintos </w:t>
      </w:r>
      <w:r w:rsidRPr="00B72EB2">
        <w:rPr>
          <w:rFonts w:ascii="Tahoma" w:eastAsia="Arial" w:hAnsi="Tahoma" w:cs="Tahoma"/>
          <w:bCs/>
          <w:sz w:val="20"/>
          <w:szCs w:val="20"/>
        </w:rPr>
        <w:t>al energético, como el sector servicios, industrial o la construcción, lo que señala que la economía de las moléculas verdes tiene un impacto tractor en toda la cadena de valor productiva.</w:t>
      </w:r>
      <w:r w:rsidR="006034F4" w:rsidRPr="00B72EB2">
        <w:rPr>
          <w:rFonts w:ascii="Tahoma" w:eastAsia="Arial" w:hAnsi="Tahoma" w:cs="Tahoma"/>
          <w:bCs/>
          <w:sz w:val="20"/>
          <w:szCs w:val="20"/>
        </w:rPr>
        <w:t xml:space="preserve"> </w:t>
      </w:r>
      <w:r w:rsidR="001420FA" w:rsidRPr="00B72EB2">
        <w:rPr>
          <w:rFonts w:ascii="Tahoma" w:eastAsia="Arial" w:hAnsi="Tahoma" w:cs="Tahoma"/>
          <w:bCs/>
          <w:sz w:val="20"/>
          <w:szCs w:val="20"/>
        </w:rPr>
        <w:t>El informe señala que la</w:t>
      </w:r>
      <w:r w:rsidR="00830752" w:rsidRPr="00B72EB2">
        <w:rPr>
          <w:rFonts w:ascii="Tahoma" w:eastAsia="Arial" w:hAnsi="Tahoma" w:cs="Tahoma"/>
          <w:bCs/>
          <w:sz w:val="20"/>
          <w:szCs w:val="20"/>
        </w:rPr>
        <w:t xml:space="preserve"> transición requiere </w:t>
      </w:r>
      <w:r w:rsidR="00706482" w:rsidRPr="00B72EB2">
        <w:rPr>
          <w:rFonts w:ascii="Tahoma" w:eastAsia="Arial" w:hAnsi="Tahoma" w:cs="Tahoma"/>
          <w:bCs/>
          <w:sz w:val="20"/>
          <w:szCs w:val="20"/>
        </w:rPr>
        <w:t xml:space="preserve">de </w:t>
      </w:r>
      <w:proofErr w:type="spellStart"/>
      <w:r w:rsidR="00706482" w:rsidRPr="00B72EB2">
        <w:rPr>
          <w:rFonts w:ascii="Tahoma" w:eastAsia="Arial" w:hAnsi="Tahoma" w:cs="Tahoma"/>
          <w:bCs/>
          <w:i/>
          <w:iCs/>
          <w:sz w:val="20"/>
          <w:szCs w:val="20"/>
        </w:rPr>
        <w:t>upskilling</w:t>
      </w:r>
      <w:proofErr w:type="spellEnd"/>
      <w:r w:rsidR="00706482" w:rsidRPr="00B72EB2">
        <w:rPr>
          <w:rFonts w:ascii="Tahoma" w:eastAsia="Arial" w:hAnsi="Tahoma" w:cs="Tahoma"/>
          <w:bCs/>
          <w:sz w:val="20"/>
          <w:szCs w:val="20"/>
        </w:rPr>
        <w:t xml:space="preserve"> y </w:t>
      </w:r>
      <w:proofErr w:type="spellStart"/>
      <w:r w:rsidR="00706482" w:rsidRPr="00B72EB2">
        <w:rPr>
          <w:rFonts w:ascii="Tahoma" w:eastAsia="Arial" w:hAnsi="Tahoma" w:cs="Tahoma"/>
          <w:bCs/>
          <w:i/>
          <w:iCs/>
          <w:sz w:val="20"/>
          <w:szCs w:val="20"/>
        </w:rPr>
        <w:t>reskilling</w:t>
      </w:r>
      <w:proofErr w:type="spellEnd"/>
      <w:r w:rsidR="00706482" w:rsidRPr="00B72EB2">
        <w:rPr>
          <w:rFonts w:ascii="Tahoma" w:eastAsia="Arial" w:hAnsi="Tahoma" w:cs="Tahoma"/>
          <w:bCs/>
          <w:sz w:val="20"/>
          <w:szCs w:val="20"/>
        </w:rPr>
        <w:t xml:space="preserve"> </w:t>
      </w:r>
      <w:r w:rsidR="00830752" w:rsidRPr="00B72EB2">
        <w:rPr>
          <w:rFonts w:ascii="Tahoma" w:eastAsia="Arial" w:hAnsi="Tahoma" w:cs="Tahoma"/>
          <w:bCs/>
          <w:sz w:val="20"/>
          <w:szCs w:val="20"/>
        </w:rPr>
        <w:t>del 60% de los profesionales en</w:t>
      </w:r>
      <w:r w:rsidR="00830752" w:rsidRPr="00B72EB2">
        <w:rPr>
          <w:rFonts w:ascii="Tahoma" w:eastAsia="Arial" w:hAnsi="Tahoma" w:cs="Tahoma"/>
          <w:b/>
          <w:sz w:val="20"/>
          <w:szCs w:val="20"/>
        </w:rPr>
        <w:t xml:space="preserve"> </w:t>
      </w:r>
      <w:r w:rsidR="00830752" w:rsidRPr="00B72EB2">
        <w:rPr>
          <w:rFonts w:ascii="Tahoma" w:eastAsia="Arial" w:hAnsi="Tahoma" w:cs="Tahoma"/>
          <w:bCs/>
          <w:sz w:val="20"/>
          <w:szCs w:val="20"/>
        </w:rPr>
        <w:t>Europa</w:t>
      </w:r>
      <w:r w:rsidR="00830752" w:rsidRPr="00B72EB2">
        <w:rPr>
          <w:rFonts w:ascii="Tahoma" w:eastAsia="Arial" w:hAnsi="Tahoma" w:cs="Tahoma"/>
          <w:b/>
          <w:sz w:val="20"/>
          <w:szCs w:val="20"/>
        </w:rPr>
        <w:t xml:space="preserve"> </w:t>
      </w:r>
      <w:r w:rsidR="00830752" w:rsidRPr="00B72EB2">
        <w:rPr>
          <w:rFonts w:ascii="Tahoma" w:eastAsia="Arial" w:hAnsi="Tahoma" w:cs="Tahoma"/>
          <w:bCs/>
          <w:sz w:val="20"/>
          <w:szCs w:val="20"/>
        </w:rPr>
        <w:t xml:space="preserve">para dotarlos de habilidades </w:t>
      </w:r>
      <w:proofErr w:type="spellStart"/>
      <w:r w:rsidR="00E42E99" w:rsidRPr="00B72EB2">
        <w:rPr>
          <w:rFonts w:ascii="Tahoma" w:eastAsia="Arial" w:hAnsi="Tahoma" w:cs="Tahoma"/>
          <w:bCs/>
          <w:i/>
          <w:iCs/>
          <w:sz w:val="20"/>
          <w:szCs w:val="20"/>
        </w:rPr>
        <w:t>green</w:t>
      </w:r>
      <w:proofErr w:type="spellEnd"/>
      <w:r w:rsidR="00E42E99" w:rsidRPr="00B72EB2">
        <w:rPr>
          <w:rFonts w:ascii="Tahoma" w:eastAsia="Arial" w:hAnsi="Tahoma" w:cs="Tahoma"/>
          <w:bCs/>
          <w:sz w:val="20"/>
          <w:szCs w:val="20"/>
        </w:rPr>
        <w:t xml:space="preserve"> </w:t>
      </w:r>
      <w:r w:rsidR="00830752" w:rsidRPr="00B72EB2">
        <w:rPr>
          <w:rFonts w:ascii="Tahoma" w:eastAsia="Arial" w:hAnsi="Tahoma" w:cs="Tahoma"/>
          <w:bCs/>
          <w:sz w:val="20"/>
          <w:szCs w:val="20"/>
        </w:rPr>
        <w:t>cr</w:t>
      </w:r>
      <w:r w:rsidR="00E42E99" w:rsidRPr="00B72EB2">
        <w:rPr>
          <w:rFonts w:ascii="Tahoma" w:eastAsia="Arial" w:hAnsi="Tahoma" w:cs="Tahoma"/>
          <w:bCs/>
          <w:sz w:val="20"/>
          <w:szCs w:val="20"/>
        </w:rPr>
        <w:t>íticas</w:t>
      </w:r>
      <w:r w:rsidR="00830752" w:rsidRPr="00B72EB2">
        <w:rPr>
          <w:rFonts w:ascii="Tahoma" w:eastAsia="Arial" w:hAnsi="Tahoma" w:cs="Tahoma"/>
          <w:bCs/>
          <w:sz w:val="20"/>
          <w:szCs w:val="20"/>
        </w:rPr>
        <w:t xml:space="preserve">. Países como Italia, Alemania </w:t>
      </w:r>
      <w:r w:rsidR="003138B4" w:rsidRPr="00B72EB2">
        <w:rPr>
          <w:rFonts w:ascii="Tahoma" w:eastAsia="Arial" w:hAnsi="Tahoma" w:cs="Tahoma"/>
          <w:bCs/>
          <w:sz w:val="20"/>
          <w:szCs w:val="20"/>
        </w:rPr>
        <w:t xml:space="preserve">y la propia España </w:t>
      </w:r>
      <w:r w:rsidR="00E42E99" w:rsidRPr="00B72EB2">
        <w:rPr>
          <w:rFonts w:ascii="Tahoma" w:eastAsia="Arial" w:hAnsi="Tahoma" w:cs="Tahoma"/>
          <w:bCs/>
          <w:sz w:val="20"/>
          <w:szCs w:val="20"/>
        </w:rPr>
        <w:t xml:space="preserve">se </w:t>
      </w:r>
      <w:r w:rsidR="00830752" w:rsidRPr="00B72EB2">
        <w:rPr>
          <w:rFonts w:ascii="Tahoma" w:eastAsia="Arial" w:hAnsi="Tahoma" w:cs="Tahoma"/>
          <w:bCs/>
          <w:sz w:val="20"/>
          <w:szCs w:val="20"/>
        </w:rPr>
        <w:t xml:space="preserve">enfrentan </w:t>
      </w:r>
      <w:r w:rsidR="00E42E99" w:rsidRPr="00B72EB2">
        <w:rPr>
          <w:rFonts w:ascii="Tahoma" w:eastAsia="Arial" w:hAnsi="Tahoma" w:cs="Tahoma"/>
          <w:bCs/>
          <w:sz w:val="20"/>
          <w:szCs w:val="20"/>
        </w:rPr>
        <w:t xml:space="preserve">a </w:t>
      </w:r>
      <w:r w:rsidR="00830752" w:rsidRPr="00B72EB2">
        <w:rPr>
          <w:rFonts w:ascii="Tahoma" w:eastAsia="Arial" w:hAnsi="Tahoma" w:cs="Tahoma"/>
          <w:bCs/>
          <w:sz w:val="20"/>
          <w:szCs w:val="20"/>
        </w:rPr>
        <w:t xml:space="preserve">las mayores brechas de habilidades que deben abordarse mediante </w:t>
      </w:r>
      <w:r w:rsidR="00E42E99" w:rsidRPr="00B72EB2">
        <w:rPr>
          <w:rFonts w:ascii="Tahoma" w:eastAsia="Arial" w:hAnsi="Tahoma" w:cs="Tahoma"/>
          <w:bCs/>
          <w:sz w:val="20"/>
          <w:szCs w:val="20"/>
        </w:rPr>
        <w:t>la formación profesional</w:t>
      </w:r>
      <w:r w:rsidR="00830752" w:rsidRPr="00B72EB2">
        <w:rPr>
          <w:rFonts w:ascii="Tahoma" w:eastAsia="Arial" w:hAnsi="Tahoma" w:cs="Tahoma"/>
          <w:bCs/>
          <w:sz w:val="20"/>
          <w:szCs w:val="20"/>
        </w:rPr>
        <w:t xml:space="preserve">, herramientas de mapeo de la </w:t>
      </w:r>
      <w:r w:rsidR="00E42E99" w:rsidRPr="00B72EB2">
        <w:rPr>
          <w:rFonts w:ascii="Tahoma" w:eastAsia="Arial" w:hAnsi="Tahoma" w:cs="Tahoma"/>
          <w:bCs/>
          <w:sz w:val="20"/>
          <w:szCs w:val="20"/>
        </w:rPr>
        <w:t xml:space="preserve">población activa y sus capacidades </w:t>
      </w:r>
      <w:r w:rsidR="00830752" w:rsidRPr="00B72EB2">
        <w:rPr>
          <w:rFonts w:ascii="Tahoma" w:eastAsia="Arial" w:hAnsi="Tahoma" w:cs="Tahoma"/>
          <w:bCs/>
          <w:sz w:val="20"/>
          <w:szCs w:val="20"/>
        </w:rPr>
        <w:t xml:space="preserve">y </w:t>
      </w:r>
      <w:r w:rsidR="00E42E99" w:rsidRPr="00B72EB2">
        <w:rPr>
          <w:rFonts w:ascii="Tahoma" w:eastAsia="Arial" w:hAnsi="Tahoma" w:cs="Tahoma"/>
          <w:bCs/>
          <w:sz w:val="20"/>
          <w:szCs w:val="20"/>
        </w:rPr>
        <w:t xml:space="preserve">la colaboración </w:t>
      </w:r>
      <w:r w:rsidR="00830752" w:rsidRPr="00B72EB2">
        <w:rPr>
          <w:rFonts w:ascii="Tahoma" w:eastAsia="Arial" w:hAnsi="Tahoma" w:cs="Tahoma"/>
          <w:bCs/>
          <w:sz w:val="20"/>
          <w:szCs w:val="20"/>
        </w:rPr>
        <w:t xml:space="preserve">público-privadas. </w:t>
      </w:r>
    </w:p>
    <w:p w14:paraId="13A55FB1" w14:textId="2C2BCB20" w:rsidR="00B41B61" w:rsidRPr="00B72EB2" w:rsidRDefault="006034F4" w:rsidP="006034F4">
      <w:pPr>
        <w:tabs>
          <w:tab w:val="right" w:pos="8838"/>
        </w:tabs>
        <w:autoSpaceDE w:val="0"/>
        <w:autoSpaceDN w:val="0"/>
        <w:adjustRightInd w:val="0"/>
        <w:spacing w:before="120" w:line="276" w:lineRule="auto"/>
        <w:jc w:val="both"/>
        <w:rPr>
          <w:rFonts w:ascii="Tahoma" w:eastAsia="Arial" w:hAnsi="Tahoma" w:cs="Tahoma"/>
          <w:bCs/>
          <w:sz w:val="20"/>
          <w:szCs w:val="20"/>
        </w:rPr>
      </w:pPr>
      <w:r w:rsidRPr="00B72EB2">
        <w:rPr>
          <w:rFonts w:ascii="Tahoma" w:eastAsia="Arial" w:hAnsi="Tahoma" w:cs="Tahoma"/>
          <w:bCs/>
          <w:sz w:val="20"/>
          <w:szCs w:val="20"/>
        </w:rPr>
        <w:t xml:space="preserve">Cepsa está desarrollando junto a sus socios </w:t>
      </w:r>
      <w:r w:rsidR="003D3F90">
        <w:rPr>
          <w:rFonts w:ascii="Tahoma" w:eastAsia="Arial" w:hAnsi="Tahoma" w:cs="Tahoma"/>
          <w:bCs/>
          <w:sz w:val="20"/>
          <w:szCs w:val="20"/>
        </w:rPr>
        <w:t>el</w:t>
      </w:r>
      <w:r w:rsidRPr="00B72EB2">
        <w:rPr>
          <w:rFonts w:ascii="Tahoma" w:eastAsia="Arial" w:hAnsi="Tahoma" w:cs="Tahoma"/>
          <w:bCs/>
          <w:sz w:val="20"/>
          <w:szCs w:val="20"/>
        </w:rPr>
        <w:t xml:space="preserve"> mayor </w:t>
      </w:r>
      <w:proofErr w:type="spellStart"/>
      <w:r w:rsidRPr="00B72EB2">
        <w:rPr>
          <w:rFonts w:ascii="Tahoma" w:eastAsia="Arial" w:hAnsi="Tahoma" w:cs="Tahoma"/>
          <w:bCs/>
          <w:sz w:val="20"/>
          <w:szCs w:val="20"/>
        </w:rPr>
        <w:t>hubs</w:t>
      </w:r>
      <w:proofErr w:type="spellEnd"/>
      <w:r w:rsidRPr="00B72EB2">
        <w:rPr>
          <w:rFonts w:ascii="Tahoma" w:eastAsia="Arial" w:hAnsi="Tahoma" w:cs="Tahoma"/>
          <w:bCs/>
          <w:sz w:val="20"/>
          <w:szCs w:val="20"/>
        </w:rPr>
        <w:t xml:space="preserve"> de moléculas verdes de Europa con el Valle </w:t>
      </w:r>
      <w:r w:rsidR="00DA1FB5">
        <w:rPr>
          <w:rFonts w:ascii="Tahoma" w:eastAsia="Arial" w:hAnsi="Tahoma" w:cs="Tahoma"/>
          <w:bCs/>
          <w:sz w:val="20"/>
          <w:szCs w:val="20"/>
        </w:rPr>
        <w:t xml:space="preserve">Andaluz </w:t>
      </w:r>
      <w:r w:rsidRPr="00B72EB2">
        <w:rPr>
          <w:rFonts w:ascii="Tahoma" w:eastAsia="Arial" w:hAnsi="Tahoma" w:cs="Tahoma"/>
          <w:bCs/>
          <w:sz w:val="20"/>
          <w:szCs w:val="20"/>
        </w:rPr>
        <w:t xml:space="preserve">del Hidrógeno Verde y </w:t>
      </w:r>
      <w:r w:rsidR="00DA1FB5">
        <w:rPr>
          <w:rFonts w:ascii="Tahoma" w:eastAsia="Arial" w:hAnsi="Tahoma" w:cs="Tahoma"/>
          <w:bCs/>
          <w:sz w:val="20"/>
          <w:szCs w:val="20"/>
        </w:rPr>
        <w:t xml:space="preserve">los </w:t>
      </w:r>
      <w:r w:rsidRPr="00B72EB2">
        <w:rPr>
          <w:rFonts w:ascii="Tahoma" w:eastAsia="Arial" w:hAnsi="Tahoma" w:cs="Tahoma"/>
          <w:bCs/>
          <w:sz w:val="20"/>
          <w:szCs w:val="20"/>
        </w:rPr>
        <w:t>proyectos de biocombustibles 2G</w:t>
      </w:r>
      <w:r w:rsidR="00DA1FB5">
        <w:rPr>
          <w:rFonts w:ascii="Tahoma" w:eastAsia="Arial" w:hAnsi="Tahoma" w:cs="Tahoma"/>
          <w:bCs/>
          <w:sz w:val="20"/>
          <w:szCs w:val="20"/>
        </w:rPr>
        <w:t xml:space="preserve"> que está impulsando en </w:t>
      </w:r>
      <w:r w:rsidR="001B249F">
        <w:rPr>
          <w:rFonts w:ascii="Tahoma" w:eastAsia="Arial" w:hAnsi="Tahoma" w:cs="Tahoma"/>
          <w:bCs/>
          <w:sz w:val="20"/>
          <w:szCs w:val="20"/>
        </w:rPr>
        <w:t>España</w:t>
      </w:r>
      <w:r w:rsidRPr="00B72EB2">
        <w:rPr>
          <w:rFonts w:ascii="Tahoma" w:eastAsia="Arial" w:hAnsi="Tahoma" w:cs="Tahoma"/>
          <w:bCs/>
          <w:sz w:val="20"/>
          <w:szCs w:val="20"/>
        </w:rPr>
        <w:t xml:space="preserve">, </w:t>
      </w:r>
      <w:r w:rsidR="002A2C77">
        <w:rPr>
          <w:rFonts w:ascii="Tahoma" w:eastAsia="Arial" w:hAnsi="Tahoma" w:cs="Tahoma"/>
          <w:bCs/>
          <w:sz w:val="20"/>
          <w:szCs w:val="20"/>
        </w:rPr>
        <w:t xml:space="preserve">que suman </w:t>
      </w:r>
      <w:r w:rsidRPr="00B72EB2">
        <w:rPr>
          <w:rFonts w:ascii="Tahoma" w:eastAsia="Arial" w:hAnsi="Tahoma" w:cs="Tahoma"/>
          <w:bCs/>
          <w:sz w:val="20"/>
          <w:szCs w:val="20"/>
        </w:rPr>
        <w:t xml:space="preserve">una previsión de creación de hasta 14.000 </w:t>
      </w:r>
      <w:r w:rsidR="002A2C77">
        <w:rPr>
          <w:rFonts w:ascii="Tahoma" w:eastAsia="Arial" w:hAnsi="Tahoma" w:cs="Tahoma"/>
          <w:bCs/>
          <w:sz w:val="20"/>
          <w:szCs w:val="20"/>
        </w:rPr>
        <w:t>empleos directos, indirectos e inducidos</w:t>
      </w:r>
      <w:r w:rsidRPr="00B72EB2">
        <w:rPr>
          <w:rFonts w:ascii="Tahoma" w:eastAsia="Arial" w:hAnsi="Tahoma" w:cs="Tahoma"/>
          <w:bCs/>
          <w:sz w:val="20"/>
          <w:szCs w:val="20"/>
        </w:rPr>
        <w:t xml:space="preserve">. </w:t>
      </w:r>
      <w:r w:rsidR="00872E2F">
        <w:rPr>
          <w:rFonts w:ascii="Tahoma" w:eastAsia="Arial" w:hAnsi="Tahoma" w:cs="Tahoma"/>
          <w:bCs/>
          <w:sz w:val="20"/>
          <w:szCs w:val="20"/>
        </w:rPr>
        <w:t>Los planes de Cepsa i</w:t>
      </w:r>
      <w:r w:rsidRPr="00B72EB2">
        <w:rPr>
          <w:rFonts w:ascii="Tahoma" w:eastAsia="Arial" w:hAnsi="Tahoma" w:cs="Tahoma"/>
          <w:bCs/>
          <w:sz w:val="20"/>
          <w:szCs w:val="20"/>
        </w:rPr>
        <w:t>ncluye</w:t>
      </w:r>
      <w:r w:rsidR="00872E2F">
        <w:rPr>
          <w:rFonts w:ascii="Tahoma" w:eastAsia="Arial" w:hAnsi="Tahoma" w:cs="Tahoma"/>
          <w:bCs/>
          <w:sz w:val="20"/>
          <w:szCs w:val="20"/>
        </w:rPr>
        <w:t>n</w:t>
      </w:r>
      <w:r w:rsidRPr="00B72EB2">
        <w:rPr>
          <w:rFonts w:ascii="Tahoma" w:eastAsia="Arial" w:hAnsi="Tahoma" w:cs="Tahoma"/>
          <w:bCs/>
          <w:sz w:val="20"/>
          <w:szCs w:val="20"/>
        </w:rPr>
        <w:t xml:space="preserve"> dos plantas de hidrógeno verde </w:t>
      </w:r>
      <w:r w:rsidR="00E85CCD">
        <w:rPr>
          <w:rFonts w:ascii="Tahoma" w:eastAsia="Arial" w:hAnsi="Tahoma" w:cs="Tahoma"/>
          <w:bCs/>
          <w:sz w:val="20"/>
          <w:szCs w:val="20"/>
        </w:rPr>
        <w:t xml:space="preserve">de 1GW cada una, </w:t>
      </w:r>
      <w:r w:rsidRPr="00B72EB2">
        <w:rPr>
          <w:rFonts w:ascii="Tahoma" w:eastAsia="Arial" w:hAnsi="Tahoma" w:cs="Tahoma"/>
          <w:bCs/>
          <w:sz w:val="20"/>
          <w:szCs w:val="20"/>
        </w:rPr>
        <w:t>con una capacidad de producción anual de 300.000 toneladas</w:t>
      </w:r>
      <w:r w:rsidR="00DC7983">
        <w:rPr>
          <w:rFonts w:ascii="Tahoma" w:eastAsia="Arial" w:hAnsi="Tahoma" w:cs="Tahoma"/>
          <w:bCs/>
          <w:sz w:val="20"/>
          <w:szCs w:val="20"/>
        </w:rPr>
        <w:t>;</w:t>
      </w:r>
      <w:r w:rsidRPr="00B72EB2">
        <w:rPr>
          <w:rFonts w:ascii="Tahoma" w:eastAsia="Arial" w:hAnsi="Tahoma" w:cs="Tahoma"/>
          <w:bCs/>
          <w:sz w:val="20"/>
          <w:szCs w:val="20"/>
        </w:rPr>
        <w:t xml:space="preserve"> una planta de amoníaco verde con una capacidad de producción anual de 750.000 toneladas, una planta de metanol verde con una capacidad de producción anual de 300.000 y una planta de biocombustibles con capacidad </w:t>
      </w:r>
      <w:r w:rsidR="00D965BF">
        <w:rPr>
          <w:rFonts w:ascii="Tahoma" w:eastAsia="Arial" w:hAnsi="Tahoma" w:cs="Tahoma"/>
          <w:bCs/>
          <w:sz w:val="20"/>
          <w:szCs w:val="20"/>
        </w:rPr>
        <w:t xml:space="preserve">para </w:t>
      </w:r>
      <w:r w:rsidRPr="00B72EB2">
        <w:rPr>
          <w:rFonts w:ascii="Tahoma" w:eastAsia="Arial" w:hAnsi="Tahoma" w:cs="Tahoma"/>
          <w:bCs/>
          <w:sz w:val="20"/>
          <w:szCs w:val="20"/>
        </w:rPr>
        <w:t>producir 500.000 toneladas de diésel renovable y combustible de aviación sostenible (SAF) al año.</w:t>
      </w:r>
    </w:p>
    <w:p w14:paraId="3AEEC67B" w14:textId="77777777" w:rsidR="00BE0101" w:rsidRPr="00B72EB2" w:rsidRDefault="00BE0101" w:rsidP="006034F4">
      <w:pPr>
        <w:tabs>
          <w:tab w:val="right" w:pos="8838"/>
        </w:tabs>
        <w:autoSpaceDE w:val="0"/>
        <w:autoSpaceDN w:val="0"/>
        <w:adjustRightInd w:val="0"/>
        <w:spacing w:before="120" w:line="276" w:lineRule="auto"/>
        <w:jc w:val="both"/>
        <w:rPr>
          <w:rFonts w:ascii="Tahoma" w:eastAsia="Arial" w:hAnsi="Tahoma" w:cs="Tahoma"/>
          <w:bCs/>
          <w:sz w:val="20"/>
          <w:szCs w:val="20"/>
        </w:rPr>
      </w:pPr>
    </w:p>
    <w:p w14:paraId="064AB602" w14:textId="579D66C9" w:rsidR="00830752" w:rsidRPr="00B72EB2" w:rsidRDefault="00830752" w:rsidP="006034F4">
      <w:pPr>
        <w:tabs>
          <w:tab w:val="right" w:pos="8838"/>
        </w:tabs>
        <w:autoSpaceDE w:val="0"/>
        <w:autoSpaceDN w:val="0"/>
        <w:adjustRightInd w:val="0"/>
        <w:spacing w:before="120" w:line="276" w:lineRule="auto"/>
        <w:jc w:val="both"/>
        <w:rPr>
          <w:rFonts w:ascii="Tahoma" w:eastAsia="Arial" w:hAnsi="Tahoma" w:cs="Tahoma"/>
          <w:bCs/>
          <w:sz w:val="22"/>
          <w:szCs w:val="22"/>
        </w:rPr>
      </w:pPr>
      <w:r w:rsidRPr="00B72EB2">
        <w:rPr>
          <w:rFonts w:ascii="Tahoma" w:eastAsia="Arial" w:hAnsi="Tahoma" w:cs="Tahoma"/>
          <w:bCs/>
          <w:sz w:val="22"/>
          <w:szCs w:val="22"/>
        </w:rPr>
        <w:lastRenderedPageBreak/>
        <w:t xml:space="preserve">Para ver </w:t>
      </w:r>
      <w:r w:rsidR="003138B4" w:rsidRPr="00B72EB2">
        <w:rPr>
          <w:rFonts w:ascii="Tahoma" w:eastAsia="Arial" w:hAnsi="Tahoma" w:cs="Tahoma"/>
          <w:bCs/>
          <w:sz w:val="22"/>
          <w:szCs w:val="22"/>
        </w:rPr>
        <w:t xml:space="preserve">acceder al </w:t>
      </w:r>
      <w:r w:rsidRPr="00B72EB2">
        <w:rPr>
          <w:rFonts w:ascii="Tahoma" w:eastAsia="Arial" w:hAnsi="Tahoma" w:cs="Tahoma"/>
          <w:bCs/>
          <w:sz w:val="22"/>
          <w:szCs w:val="22"/>
        </w:rPr>
        <w:t>informe</w:t>
      </w:r>
      <w:r w:rsidR="003138B4" w:rsidRPr="00B72EB2">
        <w:rPr>
          <w:rFonts w:ascii="Tahoma" w:eastAsia="Arial" w:hAnsi="Tahoma" w:cs="Tahoma"/>
          <w:bCs/>
          <w:sz w:val="22"/>
          <w:szCs w:val="22"/>
        </w:rPr>
        <w:t xml:space="preserve"> completo</w:t>
      </w:r>
      <w:r w:rsidRPr="00B72EB2">
        <w:rPr>
          <w:rFonts w:ascii="Tahoma" w:eastAsia="Arial" w:hAnsi="Tahoma" w:cs="Tahoma"/>
          <w:bCs/>
          <w:sz w:val="22"/>
          <w:szCs w:val="22"/>
        </w:rPr>
        <w:t>, visite</w:t>
      </w:r>
      <w:r w:rsidRPr="00162681">
        <w:rPr>
          <w:rFonts w:ascii="Tahoma" w:eastAsia="Arial" w:hAnsi="Tahoma" w:cs="Tahoma"/>
          <w:bCs/>
          <w:sz w:val="22"/>
          <w:szCs w:val="22"/>
        </w:rPr>
        <w:t xml:space="preserve">: </w:t>
      </w:r>
      <w:hyperlink r:id="rId11" w:history="1">
        <w:r w:rsidR="00162681" w:rsidRPr="002F3204">
          <w:rPr>
            <w:rStyle w:val="Hipervnculo"/>
            <w:rFonts w:ascii="Tahoma" w:eastAsia="Arial" w:hAnsi="Tahoma" w:cs="Tahoma"/>
            <w:bCs/>
            <w:sz w:val="22"/>
            <w:szCs w:val="22"/>
          </w:rPr>
          <w:t>https://www.manpowergroup.es/estudios/las-moleculas-verdes-la-inminente-revolucion-del-mercado-del-empleo-en-europa-realizado-por-manpowergroup-y-cepsa</w:t>
        </w:r>
      </w:hyperlink>
      <w:r w:rsidR="00162681">
        <w:rPr>
          <w:rFonts w:ascii="Tahoma" w:eastAsia="Arial" w:hAnsi="Tahoma" w:cs="Tahoma"/>
          <w:bCs/>
          <w:sz w:val="22"/>
          <w:szCs w:val="22"/>
        </w:rPr>
        <w:t>.</w:t>
      </w:r>
    </w:p>
    <w:p w14:paraId="444CC864" w14:textId="20EA65AF" w:rsidR="003138B4" w:rsidRDefault="003138B4" w:rsidP="006034F4">
      <w:pPr>
        <w:tabs>
          <w:tab w:val="right" w:pos="8838"/>
        </w:tabs>
        <w:autoSpaceDE w:val="0"/>
        <w:autoSpaceDN w:val="0"/>
        <w:adjustRightInd w:val="0"/>
        <w:spacing w:before="120" w:line="276" w:lineRule="auto"/>
        <w:jc w:val="both"/>
        <w:rPr>
          <w:rFonts w:ascii="Tahoma" w:eastAsia="Arial" w:hAnsi="Tahoma" w:cs="Tahoma"/>
          <w:bCs/>
          <w:sz w:val="22"/>
          <w:szCs w:val="22"/>
        </w:rPr>
      </w:pPr>
    </w:p>
    <w:p w14:paraId="5B4BA0AC" w14:textId="77777777" w:rsidR="00FC1EAE" w:rsidRPr="00B72EB2" w:rsidRDefault="00FC1EAE" w:rsidP="006034F4">
      <w:pPr>
        <w:tabs>
          <w:tab w:val="right" w:pos="8838"/>
        </w:tabs>
        <w:autoSpaceDE w:val="0"/>
        <w:autoSpaceDN w:val="0"/>
        <w:adjustRightInd w:val="0"/>
        <w:spacing w:before="120" w:line="276" w:lineRule="auto"/>
        <w:jc w:val="both"/>
        <w:rPr>
          <w:rFonts w:ascii="Tahoma" w:eastAsia="Arial" w:hAnsi="Tahoma" w:cs="Tahoma"/>
          <w:bCs/>
          <w:sz w:val="22"/>
          <w:szCs w:val="22"/>
        </w:rPr>
      </w:pPr>
    </w:p>
    <w:p w14:paraId="1BEA7171" w14:textId="77777777" w:rsidR="00845A5F" w:rsidRPr="00845A5F" w:rsidRDefault="00845A5F" w:rsidP="00845A5F">
      <w:pPr>
        <w:rPr>
          <w:rFonts w:ascii="Tahoma" w:hAnsi="Tahoma" w:cs="Tahoma"/>
          <w:sz w:val="16"/>
          <w:szCs w:val="16"/>
        </w:rPr>
      </w:pPr>
      <w:r w:rsidRPr="00845A5F">
        <w:rPr>
          <w:rFonts w:ascii="Tahoma" w:hAnsi="Tahoma" w:cs="Tahoma"/>
          <w:b/>
          <w:bCs/>
          <w:sz w:val="16"/>
          <w:szCs w:val="16"/>
        </w:rPr>
        <w:t xml:space="preserve">Cepsa </w:t>
      </w:r>
      <w:r w:rsidRPr="00845A5F">
        <w:rPr>
          <w:rFonts w:ascii="Tahoma" w:hAnsi="Tahoma" w:cs="Tahoma"/>
          <w:sz w:val="16"/>
          <w:szCs w:val="16"/>
        </w:rPr>
        <w:t xml:space="preserve">es una compañía internacional líder comprometida con la movilidad y la energía sostenibles con una sólida experiencia técnica tras más de 90 años de actividad. La compañía también cuenta con un negocio de química líder a nivel mundial con una actividad cada vez más sostenible. </w:t>
      </w:r>
    </w:p>
    <w:p w14:paraId="0C0ECD0D" w14:textId="77777777" w:rsidR="00845A5F" w:rsidRPr="00845A5F" w:rsidRDefault="00845A5F" w:rsidP="00845A5F">
      <w:pPr>
        <w:rPr>
          <w:rFonts w:ascii="Tahoma" w:hAnsi="Tahoma" w:cs="Tahoma"/>
          <w:sz w:val="16"/>
          <w:szCs w:val="16"/>
        </w:rPr>
      </w:pPr>
    </w:p>
    <w:p w14:paraId="2EDD2CC3" w14:textId="77777777" w:rsidR="00845A5F" w:rsidRPr="00162681" w:rsidRDefault="00845A5F" w:rsidP="00845A5F">
      <w:pPr>
        <w:rPr>
          <w:rFonts w:ascii="Tahoma" w:hAnsi="Tahoma" w:cs="Tahoma"/>
          <w:sz w:val="16"/>
          <w:szCs w:val="16"/>
        </w:rPr>
      </w:pPr>
      <w:r w:rsidRPr="00845A5F">
        <w:rPr>
          <w:rFonts w:ascii="Tahoma" w:hAnsi="Tahoma" w:cs="Tahoma"/>
          <w:sz w:val="16"/>
          <w:szCs w:val="16"/>
        </w:rPr>
        <w:t xml:space="preserve">A través de su plan estratégico para 2030, Positive </w:t>
      </w:r>
      <w:proofErr w:type="spellStart"/>
      <w:r w:rsidRPr="00845A5F">
        <w:rPr>
          <w:rFonts w:ascii="Tahoma" w:hAnsi="Tahoma" w:cs="Tahoma"/>
          <w:sz w:val="16"/>
          <w:szCs w:val="16"/>
        </w:rPr>
        <w:t>Motion</w:t>
      </w:r>
      <w:proofErr w:type="spellEnd"/>
      <w:r w:rsidRPr="00845A5F">
        <w:rPr>
          <w:rFonts w:ascii="Tahoma" w:hAnsi="Tahoma" w:cs="Tahoma"/>
          <w:sz w:val="16"/>
          <w:szCs w:val="16"/>
        </w:rPr>
        <w:t xml:space="preserve">, Cepsa proyecta su ambición de ser líder en movilidad sostenible, biocombustibles e hidrógeno verde en España y Portugal, y de convertirse en un referente de la transición energética. La empresa sitúa a los clientes en el centro de su actividad y trabajará con ellos para ayudarles a avanzar en sus objetivos de </w:t>
      </w:r>
      <w:r w:rsidRPr="00162681">
        <w:rPr>
          <w:rFonts w:ascii="Tahoma" w:hAnsi="Tahoma" w:cs="Tahoma"/>
          <w:sz w:val="16"/>
          <w:szCs w:val="16"/>
        </w:rPr>
        <w:t xml:space="preserve">descarbonización. Los criterios ESG inspiran todas las acciones de Cepsa para avanzar hacia su objetivo neto positivo. </w:t>
      </w:r>
    </w:p>
    <w:p w14:paraId="760B01CA" w14:textId="77777777" w:rsidR="00845A5F" w:rsidRPr="00162681" w:rsidRDefault="00845A5F" w:rsidP="00845A5F">
      <w:pPr>
        <w:rPr>
          <w:rFonts w:ascii="Tahoma" w:hAnsi="Tahoma" w:cs="Tahoma"/>
          <w:sz w:val="16"/>
          <w:szCs w:val="16"/>
        </w:rPr>
      </w:pPr>
    </w:p>
    <w:p w14:paraId="1F509121" w14:textId="77777777" w:rsidR="00845A5F" w:rsidRPr="00162681" w:rsidRDefault="00845A5F" w:rsidP="00845A5F">
      <w:pPr>
        <w:rPr>
          <w:rFonts w:ascii="Tahoma" w:hAnsi="Tahoma" w:cs="Tahoma"/>
          <w:sz w:val="16"/>
          <w:szCs w:val="16"/>
        </w:rPr>
      </w:pPr>
      <w:r w:rsidRPr="00162681">
        <w:rPr>
          <w:rFonts w:ascii="Tahoma" w:hAnsi="Tahoma" w:cs="Tahoma"/>
          <w:sz w:val="16"/>
          <w:szCs w:val="16"/>
        </w:rPr>
        <w:t>A lo largo de esta década va a reducir sus emisiones de CO2 de alcance 1 y 2 en un 55 % y su índice de intensidad de carbono en un 15-20 %, con el objetivo de conseguir emisiones netas cero antes de 2050.</w:t>
      </w:r>
    </w:p>
    <w:p w14:paraId="350833FB" w14:textId="0FD28FFC" w:rsidR="00830752" w:rsidRPr="00162681" w:rsidRDefault="00830752" w:rsidP="006034F4">
      <w:pPr>
        <w:spacing w:line="276" w:lineRule="auto"/>
        <w:jc w:val="both"/>
        <w:rPr>
          <w:rFonts w:ascii="Tahoma" w:eastAsia="Arial" w:hAnsi="Tahoma" w:cs="Tahoma"/>
          <w:sz w:val="22"/>
          <w:szCs w:val="22"/>
        </w:rPr>
      </w:pPr>
    </w:p>
    <w:p w14:paraId="57C9640A" w14:textId="184DF6AF" w:rsidR="001740C7" w:rsidRPr="00B72EB2" w:rsidRDefault="001740C7" w:rsidP="006034F4">
      <w:pPr>
        <w:spacing w:line="276" w:lineRule="auto"/>
        <w:jc w:val="both"/>
        <w:rPr>
          <w:rFonts w:ascii="Tahoma" w:hAnsi="Tahoma" w:cs="Tahoma"/>
          <w:sz w:val="16"/>
          <w:szCs w:val="16"/>
        </w:rPr>
      </w:pPr>
      <w:r w:rsidRPr="00162681">
        <w:rPr>
          <w:rFonts w:ascii="Tahoma" w:hAnsi="Tahoma" w:cs="Tahoma"/>
          <w:b/>
          <w:bCs/>
          <w:sz w:val="16"/>
          <w:szCs w:val="16"/>
        </w:rPr>
        <w:t>ManpowerGroup</w:t>
      </w:r>
      <w:r w:rsidRPr="00162681">
        <w:rPr>
          <w:rFonts w:ascii="Tahoma" w:hAnsi="Tahoma" w:cs="Tahoma"/>
          <w:sz w:val="16"/>
          <w:szCs w:val="16"/>
        </w:rPr>
        <w:t xml:space="preserve"> </w:t>
      </w:r>
      <w:r w:rsidRPr="00B72EB2">
        <w:rPr>
          <w:rFonts w:ascii="Tahoma" w:hAnsi="Tahoma" w:cs="Tahoma"/>
          <w:sz w:val="16"/>
          <w:szCs w:val="16"/>
        </w:rPr>
        <w:t>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640FB4AA" w14:textId="77777777" w:rsidR="001740C7" w:rsidRPr="00B72EB2" w:rsidRDefault="001740C7" w:rsidP="006034F4">
      <w:pPr>
        <w:spacing w:line="276" w:lineRule="auto"/>
        <w:jc w:val="both"/>
        <w:rPr>
          <w:rFonts w:ascii="Tahoma" w:hAnsi="Tahoma" w:cs="Tahoma"/>
          <w:sz w:val="16"/>
          <w:szCs w:val="16"/>
        </w:rPr>
      </w:pPr>
      <w:r w:rsidRPr="00B72EB2">
        <w:rPr>
          <w:rFonts w:ascii="Tahoma" w:hAnsi="Tahoma" w:cs="Tahoma"/>
          <w:sz w:val="16"/>
          <w:szCs w:val="16"/>
        </w:rPr>
        <w:t xml:space="preserve">Más información en </w:t>
      </w:r>
      <w:hyperlink r:id="rId12" w:history="1">
        <w:r w:rsidRPr="00B72EB2">
          <w:rPr>
            <w:rStyle w:val="Hipervnculo"/>
            <w:rFonts w:ascii="Tahoma" w:hAnsi="Tahoma" w:cs="Tahoma"/>
            <w:sz w:val="16"/>
            <w:szCs w:val="16"/>
          </w:rPr>
          <w:t>www.manpowergroup.es</w:t>
        </w:r>
      </w:hyperlink>
      <w:r w:rsidRPr="00B72EB2">
        <w:rPr>
          <w:rFonts w:ascii="Tahoma" w:hAnsi="Tahoma" w:cs="Tahoma"/>
          <w:sz w:val="16"/>
          <w:szCs w:val="16"/>
        </w:rPr>
        <w:t>.</w:t>
      </w:r>
    </w:p>
    <w:p w14:paraId="4A498259" w14:textId="011A7C9C" w:rsidR="00493CFD" w:rsidRPr="00B72EB2" w:rsidRDefault="00493CFD" w:rsidP="006034F4">
      <w:pPr>
        <w:tabs>
          <w:tab w:val="right" w:pos="8838"/>
        </w:tabs>
        <w:autoSpaceDE w:val="0"/>
        <w:autoSpaceDN w:val="0"/>
        <w:adjustRightInd w:val="0"/>
        <w:spacing w:line="276" w:lineRule="auto"/>
        <w:jc w:val="both"/>
        <w:rPr>
          <w:rFonts w:ascii="Tahoma" w:hAnsi="Tahoma" w:cs="Tahoma"/>
          <w:sz w:val="16"/>
          <w:szCs w:val="16"/>
        </w:rPr>
      </w:pPr>
    </w:p>
    <w:p w14:paraId="702B0BD7" w14:textId="598D4B8D" w:rsidR="00493CFD" w:rsidRPr="00B72EB2" w:rsidRDefault="00493CFD" w:rsidP="006034F4">
      <w:pPr>
        <w:tabs>
          <w:tab w:val="right" w:pos="8838"/>
        </w:tabs>
        <w:autoSpaceDE w:val="0"/>
        <w:autoSpaceDN w:val="0"/>
        <w:adjustRightInd w:val="0"/>
        <w:spacing w:line="276" w:lineRule="auto"/>
        <w:jc w:val="both"/>
        <w:rPr>
          <w:rFonts w:ascii="Tahoma" w:hAnsi="Tahoma" w:cs="Tahoma"/>
          <w:sz w:val="16"/>
          <w:szCs w:val="16"/>
        </w:rPr>
      </w:pPr>
    </w:p>
    <w:p w14:paraId="388A29FF" w14:textId="77777777" w:rsidR="001A2A76" w:rsidRPr="00B72EB2" w:rsidRDefault="001A2A76" w:rsidP="006034F4">
      <w:pPr>
        <w:tabs>
          <w:tab w:val="right" w:pos="8838"/>
        </w:tabs>
        <w:autoSpaceDE w:val="0"/>
        <w:autoSpaceDN w:val="0"/>
        <w:adjustRightInd w:val="0"/>
        <w:spacing w:line="276" w:lineRule="auto"/>
        <w:jc w:val="both"/>
        <w:rPr>
          <w:rFonts w:ascii="Tahoma" w:hAnsi="Tahoma" w:cs="Tahoma"/>
          <w:b/>
          <w:bCs/>
          <w:sz w:val="16"/>
          <w:szCs w:val="16"/>
        </w:rPr>
      </w:pPr>
      <w:r w:rsidRPr="00B72EB2">
        <w:rPr>
          <w:rFonts w:ascii="Tahoma" w:hAnsi="Tahoma" w:cs="Tahoma"/>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1A2A76" w:rsidRPr="00B72EB2" w14:paraId="0018B07B" w14:textId="77777777" w:rsidTr="00D8716B">
        <w:trPr>
          <w:trHeight w:val="1159"/>
        </w:trPr>
        <w:tc>
          <w:tcPr>
            <w:tcW w:w="2943" w:type="dxa"/>
            <w:hideMark/>
          </w:tcPr>
          <w:p w14:paraId="2779EAD6" w14:textId="0DACF617" w:rsidR="001A2A76" w:rsidRPr="00B72EB2" w:rsidRDefault="001A2A76" w:rsidP="006034F4">
            <w:pPr>
              <w:spacing w:line="276" w:lineRule="auto"/>
              <w:jc w:val="both"/>
              <w:outlineLvl w:val="0"/>
              <w:rPr>
                <w:rFonts w:ascii="Tahoma" w:hAnsi="Tahoma" w:cs="Tahoma"/>
                <w:b/>
                <w:sz w:val="16"/>
                <w:szCs w:val="16"/>
              </w:rPr>
            </w:pPr>
            <w:bookmarkStart w:id="6" w:name="_Hlk90207537"/>
            <w:r w:rsidRPr="00B72EB2">
              <w:rPr>
                <w:rFonts w:ascii="Tahoma" w:hAnsi="Tahoma" w:cs="Tahoma"/>
                <w:b/>
                <w:sz w:val="16"/>
                <w:szCs w:val="16"/>
              </w:rPr>
              <w:t>ManpowerGroup</w:t>
            </w:r>
          </w:p>
          <w:p w14:paraId="0B32ED5C" w14:textId="77777777" w:rsidR="001A2A76" w:rsidRPr="00B72EB2" w:rsidRDefault="001A2A76" w:rsidP="006034F4">
            <w:pPr>
              <w:spacing w:line="276" w:lineRule="auto"/>
              <w:jc w:val="both"/>
              <w:outlineLvl w:val="0"/>
              <w:rPr>
                <w:rFonts w:ascii="Tahoma" w:hAnsi="Tahoma" w:cs="Tahoma"/>
                <w:sz w:val="16"/>
                <w:szCs w:val="16"/>
              </w:rPr>
            </w:pPr>
            <w:r w:rsidRPr="00B72EB2">
              <w:rPr>
                <w:rFonts w:ascii="Tahoma" w:hAnsi="Tahoma" w:cs="Tahoma"/>
                <w:sz w:val="16"/>
                <w:szCs w:val="16"/>
              </w:rPr>
              <w:t>Dpto. Comunicación</w:t>
            </w:r>
          </w:p>
          <w:p w14:paraId="3BC89F30" w14:textId="77777777" w:rsidR="001A2A76" w:rsidRPr="00B72EB2" w:rsidRDefault="001A2A76" w:rsidP="006034F4">
            <w:pPr>
              <w:spacing w:line="276" w:lineRule="auto"/>
              <w:jc w:val="both"/>
              <w:rPr>
                <w:rFonts w:ascii="Tahoma" w:hAnsi="Tahoma" w:cs="Tahoma"/>
                <w:sz w:val="16"/>
                <w:szCs w:val="16"/>
              </w:rPr>
            </w:pPr>
            <w:r w:rsidRPr="00B72EB2">
              <w:rPr>
                <w:rFonts w:ascii="Tahoma" w:hAnsi="Tahoma" w:cs="Tahoma"/>
                <w:sz w:val="16"/>
                <w:szCs w:val="16"/>
              </w:rPr>
              <w:t>Juan Gómez Rodríguez</w:t>
            </w:r>
          </w:p>
          <w:p w14:paraId="1A8FDA31" w14:textId="77777777" w:rsidR="001A2A76" w:rsidRPr="00B72EB2" w:rsidRDefault="001A2A76" w:rsidP="006034F4">
            <w:pPr>
              <w:spacing w:line="276" w:lineRule="auto"/>
              <w:jc w:val="both"/>
              <w:rPr>
                <w:rFonts w:ascii="Tahoma" w:hAnsi="Tahoma" w:cs="Tahoma"/>
                <w:sz w:val="16"/>
                <w:szCs w:val="16"/>
              </w:rPr>
            </w:pPr>
            <w:r w:rsidRPr="00B72EB2">
              <w:rPr>
                <w:rFonts w:ascii="Tahoma" w:hAnsi="Tahoma" w:cs="Tahoma"/>
                <w:sz w:val="16"/>
                <w:szCs w:val="16"/>
              </w:rPr>
              <w:t>Tel. 687 51 96 90</w:t>
            </w:r>
          </w:p>
          <w:p w14:paraId="42BF9EDC" w14:textId="74FABF73" w:rsidR="001A2A76" w:rsidRPr="00B72EB2" w:rsidRDefault="00FC1EAE" w:rsidP="006034F4">
            <w:pPr>
              <w:spacing w:line="276" w:lineRule="auto"/>
              <w:jc w:val="both"/>
              <w:rPr>
                <w:rFonts w:ascii="Tahoma" w:hAnsi="Tahoma" w:cs="Tahoma"/>
                <w:sz w:val="16"/>
                <w:szCs w:val="16"/>
              </w:rPr>
            </w:pPr>
            <w:hyperlink r:id="rId13" w:history="1">
              <w:r w:rsidR="001A2A76" w:rsidRPr="00B72EB2">
                <w:rPr>
                  <w:rStyle w:val="Hipervnculo"/>
                  <w:rFonts w:ascii="Tahoma" w:hAnsi="Tahoma" w:cs="Tahoma"/>
                  <w:sz w:val="16"/>
                  <w:szCs w:val="16"/>
                </w:rPr>
                <w:t>juan.gomez@manpowergroup.es</w:t>
              </w:r>
            </w:hyperlink>
          </w:p>
        </w:tc>
        <w:tc>
          <w:tcPr>
            <w:tcW w:w="2977" w:type="dxa"/>
          </w:tcPr>
          <w:p w14:paraId="4C3E35BD" w14:textId="77777777" w:rsidR="001A2A76" w:rsidRPr="00B72EB2" w:rsidRDefault="001A2A76" w:rsidP="006034F4">
            <w:pPr>
              <w:spacing w:line="276" w:lineRule="auto"/>
              <w:jc w:val="both"/>
              <w:rPr>
                <w:rFonts w:ascii="Tahoma" w:hAnsi="Tahoma" w:cs="Tahoma"/>
                <w:sz w:val="16"/>
                <w:szCs w:val="16"/>
                <w:lang w:val="ca-ES"/>
              </w:rPr>
            </w:pPr>
          </w:p>
        </w:tc>
        <w:tc>
          <w:tcPr>
            <w:tcW w:w="3028" w:type="dxa"/>
          </w:tcPr>
          <w:p w14:paraId="057E243D" w14:textId="77777777" w:rsidR="00830752" w:rsidRPr="00B72EB2" w:rsidRDefault="003509A5" w:rsidP="006034F4">
            <w:pPr>
              <w:pStyle w:val="NormalWeb"/>
              <w:spacing w:before="0" w:beforeAutospacing="0" w:after="0" w:afterAutospacing="0" w:line="276" w:lineRule="auto"/>
              <w:jc w:val="both"/>
              <w:rPr>
                <w:rFonts w:ascii="Tahoma" w:hAnsi="Tahoma" w:cs="Tahoma"/>
                <w:color w:val="000000"/>
                <w:sz w:val="16"/>
                <w:szCs w:val="16"/>
                <w:u w:val="single"/>
              </w:rPr>
            </w:pPr>
            <w:r w:rsidRPr="00B72EB2">
              <w:rPr>
                <w:rFonts w:ascii="Tahoma" w:hAnsi="Tahoma" w:cs="Tahoma"/>
                <w:color w:val="000000"/>
                <w:sz w:val="16"/>
                <w:szCs w:val="16"/>
                <w:u w:val="single"/>
              </w:rPr>
              <w:t>Agencia de comunicación Indie PR</w:t>
            </w:r>
          </w:p>
          <w:p w14:paraId="49BBC84D" w14:textId="14EA8F0A" w:rsidR="003509A5" w:rsidRPr="00B72EB2" w:rsidRDefault="00EF7ED2" w:rsidP="006034F4">
            <w:pPr>
              <w:pStyle w:val="NormalWeb"/>
              <w:spacing w:before="0" w:beforeAutospacing="0" w:after="0" w:afterAutospacing="0" w:line="276" w:lineRule="auto"/>
              <w:jc w:val="both"/>
              <w:rPr>
                <w:rFonts w:ascii="Tahoma" w:hAnsi="Tahoma" w:cs="Tahoma"/>
                <w:sz w:val="16"/>
                <w:szCs w:val="16"/>
              </w:rPr>
            </w:pPr>
            <w:r w:rsidRPr="00B72EB2">
              <w:rPr>
                <w:rFonts w:ascii="Tahoma" w:hAnsi="Tahoma" w:cs="Tahoma"/>
                <w:b/>
                <w:bCs/>
                <w:color w:val="000000"/>
                <w:sz w:val="16"/>
                <w:szCs w:val="16"/>
              </w:rPr>
              <w:t>Cristina Villanueva</w:t>
            </w:r>
          </w:p>
          <w:p w14:paraId="43FFFD20" w14:textId="63E76B81" w:rsidR="003509A5" w:rsidRPr="00B72EB2" w:rsidRDefault="003509A5" w:rsidP="006034F4">
            <w:pPr>
              <w:pStyle w:val="NormalWeb"/>
              <w:spacing w:before="0" w:beforeAutospacing="0" w:after="0" w:afterAutospacing="0" w:line="276" w:lineRule="auto"/>
              <w:jc w:val="both"/>
              <w:rPr>
                <w:rFonts w:ascii="Tahoma" w:hAnsi="Tahoma" w:cs="Tahoma"/>
                <w:sz w:val="16"/>
                <w:szCs w:val="16"/>
              </w:rPr>
            </w:pPr>
            <w:r w:rsidRPr="00B72EB2">
              <w:rPr>
                <w:rFonts w:ascii="Tahoma" w:hAnsi="Tahoma" w:cs="Tahoma"/>
                <w:color w:val="000000"/>
                <w:sz w:val="16"/>
                <w:szCs w:val="16"/>
              </w:rPr>
              <w:t xml:space="preserve">Tel.: </w:t>
            </w:r>
            <w:r w:rsidR="00894DEA" w:rsidRPr="00B72EB2">
              <w:rPr>
                <w:rFonts w:ascii="Tahoma" w:hAnsi="Tahoma" w:cs="Tahoma"/>
                <w:color w:val="000000"/>
                <w:sz w:val="16"/>
                <w:szCs w:val="16"/>
              </w:rPr>
              <w:t>687 14 73 60</w:t>
            </w:r>
          </w:p>
          <w:p w14:paraId="0C53A61F" w14:textId="40057BEF" w:rsidR="001A2A76" w:rsidRPr="00B72EB2" w:rsidRDefault="00FC1EAE" w:rsidP="006034F4">
            <w:pPr>
              <w:pStyle w:val="NormalWeb"/>
              <w:spacing w:before="0" w:beforeAutospacing="0" w:after="0" w:afterAutospacing="0" w:line="276" w:lineRule="auto"/>
              <w:jc w:val="both"/>
              <w:rPr>
                <w:rFonts w:ascii="Tahoma" w:hAnsi="Tahoma" w:cs="Tahoma"/>
                <w:sz w:val="16"/>
                <w:szCs w:val="16"/>
                <w:lang w:val="ca-ES"/>
              </w:rPr>
            </w:pPr>
            <w:hyperlink r:id="rId14" w:history="1">
              <w:r w:rsidR="00894DEA" w:rsidRPr="00B72EB2">
                <w:rPr>
                  <w:rStyle w:val="Hipervnculo"/>
                  <w:rFonts w:ascii="Tahoma" w:hAnsi="Tahoma" w:cs="Tahoma"/>
                  <w:color w:val="1155CC"/>
                  <w:sz w:val="16"/>
                  <w:szCs w:val="16"/>
                </w:rPr>
                <w:t>cristina@indiepr.es</w:t>
              </w:r>
            </w:hyperlink>
          </w:p>
        </w:tc>
      </w:tr>
      <w:bookmarkEnd w:id="4"/>
      <w:bookmarkEnd w:id="5"/>
      <w:bookmarkEnd w:id="6"/>
    </w:tbl>
    <w:p w14:paraId="0F55B214" w14:textId="77777777" w:rsidR="008E54AD" w:rsidRPr="00B72EB2" w:rsidRDefault="008E54AD" w:rsidP="00830752">
      <w:pPr>
        <w:tabs>
          <w:tab w:val="right" w:pos="8838"/>
        </w:tabs>
        <w:autoSpaceDE w:val="0"/>
        <w:autoSpaceDN w:val="0"/>
        <w:adjustRightInd w:val="0"/>
        <w:jc w:val="both"/>
        <w:rPr>
          <w:rFonts w:ascii="Tahoma" w:hAnsi="Tahoma" w:cs="Tahoma"/>
          <w:b/>
          <w:bCs/>
          <w:sz w:val="16"/>
          <w:szCs w:val="16"/>
          <w:lang w:val="en-US"/>
        </w:rPr>
      </w:pPr>
    </w:p>
    <w:sectPr w:rsidR="008E54AD" w:rsidRPr="00B72EB2" w:rsidSect="00882FCB">
      <w:headerReference w:type="default" r:id="rId15"/>
      <w:footerReference w:type="even" r:id="rId16"/>
      <w:footerReference w:type="default" r:id="rId17"/>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99A6" w14:textId="77777777" w:rsidR="00C32097" w:rsidRDefault="00C32097">
      <w:r>
        <w:separator/>
      </w:r>
    </w:p>
  </w:endnote>
  <w:endnote w:type="continuationSeparator" w:id="0">
    <w:p w14:paraId="2D99A350" w14:textId="77777777" w:rsidR="00C32097" w:rsidRDefault="00C3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DFD8" w14:textId="77777777" w:rsidR="00C32097" w:rsidRDefault="00C32097">
      <w:r>
        <w:separator/>
      </w:r>
    </w:p>
  </w:footnote>
  <w:footnote w:type="continuationSeparator" w:id="0">
    <w:p w14:paraId="6D440B07" w14:textId="77777777" w:rsidR="00C32097" w:rsidRDefault="00C32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531C5B4F" w:rsidR="00FB1381" w:rsidRDefault="004A2196" w:rsidP="00F34829">
    <w:pPr>
      <w:pStyle w:val="Encabezado"/>
      <w:rPr>
        <w:rFonts w:ascii="Verdana" w:hAnsi="Verdana"/>
        <w:noProof/>
        <w:color w:val="616161"/>
        <w:sz w:val="14"/>
        <w:szCs w:val="14"/>
      </w:rPr>
    </w:pPr>
    <w:r>
      <w:rPr>
        <w:noProof/>
      </w:rPr>
      <w:drawing>
        <wp:anchor distT="0" distB="0" distL="114300" distR="114300" simplePos="0" relativeHeight="251660288" behindDoc="1" locked="0" layoutInCell="1" allowOverlap="1" wp14:anchorId="0692DFED" wp14:editId="32EF0664">
          <wp:simplePos x="0" y="0"/>
          <wp:positionH relativeFrom="margin">
            <wp:posOffset>-180975</wp:posOffset>
          </wp:positionH>
          <wp:positionV relativeFrom="paragraph">
            <wp:posOffset>9525</wp:posOffset>
          </wp:positionV>
          <wp:extent cx="1955165" cy="504825"/>
          <wp:effectExtent l="0" t="0" r="6985" b="9525"/>
          <wp:wrapTight wrapText="bothSides">
            <wp:wrapPolygon edited="0">
              <wp:start x="0" y="0"/>
              <wp:lineTo x="0" y="21192"/>
              <wp:lineTo x="21467" y="21192"/>
              <wp:lineTo x="21467" y="0"/>
              <wp:lineTo x="0" y="0"/>
            </wp:wrapPolygon>
          </wp:wrapTight>
          <wp:docPr id="4" name="Imagen 4" descr="Identidad de marca e historia | Ce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dentidad de marca e historia | Cepsa"/>
                  <pic:cNvPicPr>
                    <a:picLocks noChangeAspect="1" noChangeArrowheads="1"/>
                  </pic:cNvPicPr>
                </pic:nvPicPr>
                <pic:blipFill rotWithShape="1">
                  <a:blip r:embed="rId1">
                    <a:extLst>
                      <a:ext uri="{28A0092B-C50C-407E-A947-70E740481C1C}">
                        <a14:useLocalDpi xmlns:a14="http://schemas.microsoft.com/office/drawing/2010/main" val="0"/>
                      </a:ext>
                    </a:extLst>
                  </a:blip>
                  <a:srcRect t="36953" b="37228"/>
                  <a:stretch/>
                </pic:blipFill>
                <pic:spPr bwMode="auto">
                  <a:xfrm>
                    <a:off x="0" y="0"/>
                    <a:ext cx="195516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11DCD64" wp14:editId="4B313E6F">
          <wp:simplePos x="0" y="0"/>
          <wp:positionH relativeFrom="margin">
            <wp:align>right</wp:align>
          </wp:positionH>
          <wp:positionV relativeFrom="paragraph">
            <wp:posOffset>-101600</wp:posOffset>
          </wp:positionV>
          <wp:extent cx="1234440" cy="666750"/>
          <wp:effectExtent l="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2"/>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126D"/>
    <w:multiLevelType w:val="hybridMultilevel"/>
    <w:tmpl w:val="2FF057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D2351C"/>
    <w:multiLevelType w:val="hybridMultilevel"/>
    <w:tmpl w:val="4B2C36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6"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5370C7C"/>
    <w:multiLevelType w:val="hybridMultilevel"/>
    <w:tmpl w:val="4BF2DE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1"/>
  </w:num>
  <w:num w:numId="2" w16cid:durableId="1342783302">
    <w:abstractNumId w:val="5"/>
  </w:num>
  <w:num w:numId="3" w16cid:durableId="305208792">
    <w:abstractNumId w:val="4"/>
  </w:num>
  <w:num w:numId="4" w16cid:durableId="126244196">
    <w:abstractNumId w:val="3"/>
  </w:num>
  <w:num w:numId="5" w16cid:durableId="1245341768">
    <w:abstractNumId w:val="8"/>
  </w:num>
  <w:num w:numId="6" w16cid:durableId="597829097">
    <w:abstractNumId w:val="6"/>
  </w:num>
  <w:num w:numId="7" w16cid:durableId="1734502920">
    <w:abstractNumId w:val="7"/>
  </w:num>
  <w:num w:numId="8" w16cid:durableId="1546720961">
    <w:abstractNumId w:val="2"/>
  </w:num>
  <w:num w:numId="9" w16cid:durableId="116034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09EA"/>
    <w:rsid w:val="0001254E"/>
    <w:rsid w:val="000166E0"/>
    <w:rsid w:val="00017815"/>
    <w:rsid w:val="000258CF"/>
    <w:rsid w:val="0003516C"/>
    <w:rsid w:val="00042488"/>
    <w:rsid w:val="000577A6"/>
    <w:rsid w:val="00061C4B"/>
    <w:rsid w:val="00063579"/>
    <w:rsid w:val="00066C14"/>
    <w:rsid w:val="000869A2"/>
    <w:rsid w:val="000A1973"/>
    <w:rsid w:val="000A6A32"/>
    <w:rsid w:val="000B0F36"/>
    <w:rsid w:val="000B79C7"/>
    <w:rsid w:val="000C41F9"/>
    <w:rsid w:val="000D2B5A"/>
    <w:rsid w:val="000E070D"/>
    <w:rsid w:val="000E5A40"/>
    <w:rsid w:val="000E7689"/>
    <w:rsid w:val="000F7DF1"/>
    <w:rsid w:val="00100AA3"/>
    <w:rsid w:val="00102F2C"/>
    <w:rsid w:val="0012170F"/>
    <w:rsid w:val="00124DEA"/>
    <w:rsid w:val="00130AA7"/>
    <w:rsid w:val="001319E5"/>
    <w:rsid w:val="001324E2"/>
    <w:rsid w:val="00141EB5"/>
    <w:rsid w:val="001420FA"/>
    <w:rsid w:val="001442A6"/>
    <w:rsid w:val="00156E14"/>
    <w:rsid w:val="00162681"/>
    <w:rsid w:val="00171AAA"/>
    <w:rsid w:val="001740C7"/>
    <w:rsid w:val="00181155"/>
    <w:rsid w:val="00183088"/>
    <w:rsid w:val="001936D1"/>
    <w:rsid w:val="0019385E"/>
    <w:rsid w:val="001A265B"/>
    <w:rsid w:val="001A2A76"/>
    <w:rsid w:val="001B249F"/>
    <w:rsid w:val="001B34B9"/>
    <w:rsid w:val="001B39AD"/>
    <w:rsid w:val="001B4782"/>
    <w:rsid w:val="001E4176"/>
    <w:rsid w:val="001F2C4E"/>
    <w:rsid w:val="001F3A45"/>
    <w:rsid w:val="00204E64"/>
    <w:rsid w:val="002059D2"/>
    <w:rsid w:val="00205D68"/>
    <w:rsid w:val="00212129"/>
    <w:rsid w:val="002246BA"/>
    <w:rsid w:val="00230AC6"/>
    <w:rsid w:val="00231877"/>
    <w:rsid w:val="002331A8"/>
    <w:rsid w:val="0024317A"/>
    <w:rsid w:val="00246591"/>
    <w:rsid w:val="00253CD6"/>
    <w:rsid w:val="00276F61"/>
    <w:rsid w:val="00290B09"/>
    <w:rsid w:val="00294475"/>
    <w:rsid w:val="00296F87"/>
    <w:rsid w:val="002A2C77"/>
    <w:rsid w:val="002A3D92"/>
    <w:rsid w:val="002A78A1"/>
    <w:rsid w:val="002B18FB"/>
    <w:rsid w:val="002B3F52"/>
    <w:rsid w:val="002C01E7"/>
    <w:rsid w:val="002C02D9"/>
    <w:rsid w:val="002C32A2"/>
    <w:rsid w:val="002D032D"/>
    <w:rsid w:val="002E01C4"/>
    <w:rsid w:val="002F48CB"/>
    <w:rsid w:val="003019C9"/>
    <w:rsid w:val="00304ED3"/>
    <w:rsid w:val="003138B4"/>
    <w:rsid w:val="0031490C"/>
    <w:rsid w:val="0032424C"/>
    <w:rsid w:val="00326125"/>
    <w:rsid w:val="00327349"/>
    <w:rsid w:val="00332D02"/>
    <w:rsid w:val="00336187"/>
    <w:rsid w:val="00337FD2"/>
    <w:rsid w:val="00344595"/>
    <w:rsid w:val="00346E05"/>
    <w:rsid w:val="003470C8"/>
    <w:rsid w:val="003509A5"/>
    <w:rsid w:val="0036538C"/>
    <w:rsid w:val="00365ECB"/>
    <w:rsid w:val="00380B8C"/>
    <w:rsid w:val="00383F58"/>
    <w:rsid w:val="00390D3C"/>
    <w:rsid w:val="003A214F"/>
    <w:rsid w:val="003A2B29"/>
    <w:rsid w:val="003A49AD"/>
    <w:rsid w:val="003A6138"/>
    <w:rsid w:val="003B0E06"/>
    <w:rsid w:val="003D05E1"/>
    <w:rsid w:val="003D0E85"/>
    <w:rsid w:val="003D3F90"/>
    <w:rsid w:val="003D4F9E"/>
    <w:rsid w:val="003D6B89"/>
    <w:rsid w:val="003F1BFE"/>
    <w:rsid w:val="00401989"/>
    <w:rsid w:val="00407AD8"/>
    <w:rsid w:val="004110BA"/>
    <w:rsid w:val="0041325B"/>
    <w:rsid w:val="00417C2A"/>
    <w:rsid w:val="0042212A"/>
    <w:rsid w:val="00432A4A"/>
    <w:rsid w:val="0044035B"/>
    <w:rsid w:val="00441AA5"/>
    <w:rsid w:val="00450AAD"/>
    <w:rsid w:val="004612C2"/>
    <w:rsid w:val="00493CFD"/>
    <w:rsid w:val="00494AD9"/>
    <w:rsid w:val="004958BB"/>
    <w:rsid w:val="00497689"/>
    <w:rsid w:val="004A2196"/>
    <w:rsid w:val="004A36A5"/>
    <w:rsid w:val="004A39D0"/>
    <w:rsid w:val="004A7E10"/>
    <w:rsid w:val="004C0F40"/>
    <w:rsid w:val="004C125B"/>
    <w:rsid w:val="004C607E"/>
    <w:rsid w:val="004D1FAF"/>
    <w:rsid w:val="004E0775"/>
    <w:rsid w:val="004E23C4"/>
    <w:rsid w:val="004F63B4"/>
    <w:rsid w:val="004F67EC"/>
    <w:rsid w:val="00501DA5"/>
    <w:rsid w:val="00502D45"/>
    <w:rsid w:val="0051114A"/>
    <w:rsid w:val="00512001"/>
    <w:rsid w:val="005201CA"/>
    <w:rsid w:val="00533536"/>
    <w:rsid w:val="00534A1A"/>
    <w:rsid w:val="00541A7B"/>
    <w:rsid w:val="00546498"/>
    <w:rsid w:val="00546ED5"/>
    <w:rsid w:val="00547D42"/>
    <w:rsid w:val="00561B53"/>
    <w:rsid w:val="00576DDF"/>
    <w:rsid w:val="00577B92"/>
    <w:rsid w:val="00577CF4"/>
    <w:rsid w:val="00590A30"/>
    <w:rsid w:val="005A200B"/>
    <w:rsid w:val="005A7DB1"/>
    <w:rsid w:val="005A7E9C"/>
    <w:rsid w:val="005C32C4"/>
    <w:rsid w:val="005C336B"/>
    <w:rsid w:val="005C33ED"/>
    <w:rsid w:val="005C4439"/>
    <w:rsid w:val="005D1AE9"/>
    <w:rsid w:val="005D5DC2"/>
    <w:rsid w:val="005E0E99"/>
    <w:rsid w:val="005E4173"/>
    <w:rsid w:val="005E476E"/>
    <w:rsid w:val="005F0624"/>
    <w:rsid w:val="005F1CEB"/>
    <w:rsid w:val="006034F4"/>
    <w:rsid w:val="006213E2"/>
    <w:rsid w:val="0063007E"/>
    <w:rsid w:val="0064466A"/>
    <w:rsid w:val="006515B4"/>
    <w:rsid w:val="00652342"/>
    <w:rsid w:val="00663580"/>
    <w:rsid w:val="00682B01"/>
    <w:rsid w:val="00687087"/>
    <w:rsid w:val="00690007"/>
    <w:rsid w:val="0069196C"/>
    <w:rsid w:val="00694B11"/>
    <w:rsid w:val="006972C0"/>
    <w:rsid w:val="006A279F"/>
    <w:rsid w:val="006B6CC7"/>
    <w:rsid w:val="006D040F"/>
    <w:rsid w:val="006D07EC"/>
    <w:rsid w:val="006E6724"/>
    <w:rsid w:val="006E6A20"/>
    <w:rsid w:val="00706482"/>
    <w:rsid w:val="0070792D"/>
    <w:rsid w:val="00710280"/>
    <w:rsid w:val="00720F29"/>
    <w:rsid w:val="0072269E"/>
    <w:rsid w:val="00731C5F"/>
    <w:rsid w:val="00750C5B"/>
    <w:rsid w:val="00782C9D"/>
    <w:rsid w:val="00791642"/>
    <w:rsid w:val="00794217"/>
    <w:rsid w:val="007A0082"/>
    <w:rsid w:val="007A74B1"/>
    <w:rsid w:val="007B59D1"/>
    <w:rsid w:val="007B679F"/>
    <w:rsid w:val="007E3CDF"/>
    <w:rsid w:val="007E687C"/>
    <w:rsid w:val="007F0E89"/>
    <w:rsid w:val="007F4189"/>
    <w:rsid w:val="00801C70"/>
    <w:rsid w:val="00822154"/>
    <w:rsid w:val="00825CE9"/>
    <w:rsid w:val="0082720B"/>
    <w:rsid w:val="00830752"/>
    <w:rsid w:val="00834898"/>
    <w:rsid w:val="00836F8E"/>
    <w:rsid w:val="0084013E"/>
    <w:rsid w:val="00841381"/>
    <w:rsid w:val="00842248"/>
    <w:rsid w:val="00845A5F"/>
    <w:rsid w:val="008460B4"/>
    <w:rsid w:val="00853C2E"/>
    <w:rsid w:val="00857C81"/>
    <w:rsid w:val="0087122E"/>
    <w:rsid w:val="00872E2F"/>
    <w:rsid w:val="008764B5"/>
    <w:rsid w:val="00881445"/>
    <w:rsid w:val="00882FCB"/>
    <w:rsid w:val="00885750"/>
    <w:rsid w:val="0089190E"/>
    <w:rsid w:val="008932B7"/>
    <w:rsid w:val="00894DEA"/>
    <w:rsid w:val="008A4224"/>
    <w:rsid w:val="008B0BEA"/>
    <w:rsid w:val="008B155B"/>
    <w:rsid w:val="008C0114"/>
    <w:rsid w:val="008C5AB0"/>
    <w:rsid w:val="008C7DC2"/>
    <w:rsid w:val="008D39F2"/>
    <w:rsid w:val="008E54AD"/>
    <w:rsid w:val="008E730B"/>
    <w:rsid w:val="008F077C"/>
    <w:rsid w:val="008F5147"/>
    <w:rsid w:val="008F73F9"/>
    <w:rsid w:val="00904C35"/>
    <w:rsid w:val="00905CF4"/>
    <w:rsid w:val="00910200"/>
    <w:rsid w:val="0091154C"/>
    <w:rsid w:val="00916A4D"/>
    <w:rsid w:val="00927308"/>
    <w:rsid w:val="00932CB7"/>
    <w:rsid w:val="0093416E"/>
    <w:rsid w:val="009366F3"/>
    <w:rsid w:val="00942998"/>
    <w:rsid w:val="009436E0"/>
    <w:rsid w:val="00955D96"/>
    <w:rsid w:val="00965643"/>
    <w:rsid w:val="0097553E"/>
    <w:rsid w:val="00977BE7"/>
    <w:rsid w:val="00981941"/>
    <w:rsid w:val="009A0E87"/>
    <w:rsid w:val="009A1047"/>
    <w:rsid w:val="009A1EB0"/>
    <w:rsid w:val="009A3526"/>
    <w:rsid w:val="009A6F8A"/>
    <w:rsid w:val="009C2675"/>
    <w:rsid w:val="009D2F34"/>
    <w:rsid w:val="009D3CF7"/>
    <w:rsid w:val="009E3B67"/>
    <w:rsid w:val="009E6171"/>
    <w:rsid w:val="009F01EA"/>
    <w:rsid w:val="009F1332"/>
    <w:rsid w:val="009F7DB9"/>
    <w:rsid w:val="009F7E1C"/>
    <w:rsid w:val="00A16B55"/>
    <w:rsid w:val="00A31E76"/>
    <w:rsid w:val="00A36D99"/>
    <w:rsid w:val="00A41710"/>
    <w:rsid w:val="00A43F61"/>
    <w:rsid w:val="00A50B4D"/>
    <w:rsid w:val="00A52AAA"/>
    <w:rsid w:val="00A52E71"/>
    <w:rsid w:val="00A56426"/>
    <w:rsid w:val="00A564F8"/>
    <w:rsid w:val="00A574BF"/>
    <w:rsid w:val="00A67AE1"/>
    <w:rsid w:val="00A7208B"/>
    <w:rsid w:val="00A73C99"/>
    <w:rsid w:val="00A86AF5"/>
    <w:rsid w:val="00AA5C1C"/>
    <w:rsid w:val="00AB24A2"/>
    <w:rsid w:val="00AC24A9"/>
    <w:rsid w:val="00AE523F"/>
    <w:rsid w:val="00AF11D7"/>
    <w:rsid w:val="00B03429"/>
    <w:rsid w:val="00B049B3"/>
    <w:rsid w:val="00B05CD9"/>
    <w:rsid w:val="00B05D48"/>
    <w:rsid w:val="00B116AF"/>
    <w:rsid w:val="00B247FF"/>
    <w:rsid w:val="00B41B61"/>
    <w:rsid w:val="00B509A6"/>
    <w:rsid w:val="00B5158D"/>
    <w:rsid w:val="00B628EE"/>
    <w:rsid w:val="00B72EB2"/>
    <w:rsid w:val="00B8069B"/>
    <w:rsid w:val="00B87BF4"/>
    <w:rsid w:val="00B963D0"/>
    <w:rsid w:val="00BB1160"/>
    <w:rsid w:val="00BB39D9"/>
    <w:rsid w:val="00BB7A78"/>
    <w:rsid w:val="00BC45B7"/>
    <w:rsid w:val="00BC46BE"/>
    <w:rsid w:val="00BD6CC8"/>
    <w:rsid w:val="00BE0101"/>
    <w:rsid w:val="00BE22AA"/>
    <w:rsid w:val="00BF2547"/>
    <w:rsid w:val="00BF5E11"/>
    <w:rsid w:val="00BF7FDF"/>
    <w:rsid w:val="00C145C5"/>
    <w:rsid w:val="00C175A4"/>
    <w:rsid w:val="00C32097"/>
    <w:rsid w:val="00C369D0"/>
    <w:rsid w:val="00C536C9"/>
    <w:rsid w:val="00C61305"/>
    <w:rsid w:val="00C61314"/>
    <w:rsid w:val="00C61441"/>
    <w:rsid w:val="00C7314E"/>
    <w:rsid w:val="00C83097"/>
    <w:rsid w:val="00C91CCE"/>
    <w:rsid w:val="00C952AF"/>
    <w:rsid w:val="00CA0905"/>
    <w:rsid w:val="00CB70C5"/>
    <w:rsid w:val="00CC188B"/>
    <w:rsid w:val="00CE7E12"/>
    <w:rsid w:val="00CF74FF"/>
    <w:rsid w:val="00D00A3C"/>
    <w:rsid w:val="00D02D48"/>
    <w:rsid w:val="00D04D6F"/>
    <w:rsid w:val="00D21BC9"/>
    <w:rsid w:val="00D26EF3"/>
    <w:rsid w:val="00D27B5C"/>
    <w:rsid w:val="00D3343D"/>
    <w:rsid w:val="00D3571D"/>
    <w:rsid w:val="00D36245"/>
    <w:rsid w:val="00D37A39"/>
    <w:rsid w:val="00D615A0"/>
    <w:rsid w:val="00D63AB2"/>
    <w:rsid w:val="00D64482"/>
    <w:rsid w:val="00D7641E"/>
    <w:rsid w:val="00D90EF8"/>
    <w:rsid w:val="00D92B75"/>
    <w:rsid w:val="00D965BF"/>
    <w:rsid w:val="00D96635"/>
    <w:rsid w:val="00DA1FB5"/>
    <w:rsid w:val="00DB0F1B"/>
    <w:rsid w:val="00DB45BA"/>
    <w:rsid w:val="00DB5EEF"/>
    <w:rsid w:val="00DC304A"/>
    <w:rsid w:val="00DC6709"/>
    <w:rsid w:val="00DC726F"/>
    <w:rsid w:val="00DC7983"/>
    <w:rsid w:val="00DD3F66"/>
    <w:rsid w:val="00DD410B"/>
    <w:rsid w:val="00DD4924"/>
    <w:rsid w:val="00DF1DDF"/>
    <w:rsid w:val="00DF2519"/>
    <w:rsid w:val="00E06A60"/>
    <w:rsid w:val="00E10601"/>
    <w:rsid w:val="00E13675"/>
    <w:rsid w:val="00E13BED"/>
    <w:rsid w:val="00E14B59"/>
    <w:rsid w:val="00E151DB"/>
    <w:rsid w:val="00E27547"/>
    <w:rsid w:val="00E31109"/>
    <w:rsid w:val="00E375F1"/>
    <w:rsid w:val="00E42E99"/>
    <w:rsid w:val="00E44C05"/>
    <w:rsid w:val="00E675C5"/>
    <w:rsid w:val="00E747B4"/>
    <w:rsid w:val="00E8353C"/>
    <w:rsid w:val="00E83F51"/>
    <w:rsid w:val="00E845CF"/>
    <w:rsid w:val="00E85CCD"/>
    <w:rsid w:val="00E870D3"/>
    <w:rsid w:val="00E91772"/>
    <w:rsid w:val="00EA5DFA"/>
    <w:rsid w:val="00EA7C7E"/>
    <w:rsid w:val="00EC0258"/>
    <w:rsid w:val="00ED4D55"/>
    <w:rsid w:val="00ED788C"/>
    <w:rsid w:val="00EE0478"/>
    <w:rsid w:val="00EF4233"/>
    <w:rsid w:val="00EF48E3"/>
    <w:rsid w:val="00EF7B96"/>
    <w:rsid w:val="00EF7ED2"/>
    <w:rsid w:val="00F00E57"/>
    <w:rsid w:val="00F03D39"/>
    <w:rsid w:val="00F040E5"/>
    <w:rsid w:val="00F0730E"/>
    <w:rsid w:val="00F1238D"/>
    <w:rsid w:val="00F17A4D"/>
    <w:rsid w:val="00F24D52"/>
    <w:rsid w:val="00F34988"/>
    <w:rsid w:val="00F355CB"/>
    <w:rsid w:val="00F3614F"/>
    <w:rsid w:val="00F403AB"/>
    <w:rsid w:val="00F430B3"/>
    <w:rsid w:val="00F45079"/>
    <w:rsid w:val="00F45C5A"/>
    <w:rsid w:val="00F5395E"/>
    <w:rsid w:val="00F6480C"/>
    <w:rsid w:val="00F72967"/>
    <w:rsid w:val="00F73A73"/>
    <w:rsid w:val="00F93A2E"/>
    <w:rsid w:val="00F95E09"/>
    <w:rsid w:val="00FB075B"/>
    <w:rsid w:val="00FB1381"/>
    <w:rsid w:val="00FB561C"/>
    <w:rsid w:val="00FC1EAE"/>
    <w:rsid w:val="00FC3937"/>
    <w:rsid w:val="00FC7D4B"/>
    <w:rsid w:val="00FE54B6"/>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70792D"/>
    <w:rPr>
      <w:b/>
      <w:bCs/>
      <w:lang w:eastAsia="es-ES"/>
    </w:rPr>
  </w:style>
  <w:style w:type="character" w:customStyle="1" w:styleId="AsuntodelcomentarioCar">
    <w:name w:val="Asunto del comentario Car"/>
    <w:basedOn w:val="TextocomentarioCar"/>
    <w:link w:val="Asuntodelcomentario"/>
    <w:uiPriority w:val="99"/>
    <w:semiHidden/>
    <w:rsid w:val="0070792D"/>
    <w:rPr>
      <w:rFonts w:ascii="Times New Roman" w:eastAsia="MS Mincho" w:hAnsi="Times New Roman" w:cs="Times New Roman"/>
      <w:b/>
      <w:bCs/>
      <w:sz w:val="20"/>
      <w:szCs w:val="20"/>
      <w:lang w:eastAsia="es-ES"/>
    </w:rPr>
  </w:style>
  <w:style w:type="character" w:customStyle="1" w:styleId="fui-primitive">
    <w:name w:val="fui-primitive"/>
    <w:basedOn w:val="Fuentedeprrafopredeter"/>
    <w:rsid w:val="00F040E5"/>
  </w:style>
  <w:style w:type="character" w:customStyle="1" w:styleId="fui-chatmessage">
    <w:name w:val="fui-chatmessage"/>
    <w:basedOn w:val="Fuentedeprrafopredeter"/>
    <w:rsid w:val="00F040E5"/>
  </w:style>
  <w:style w:type="character" w:customStyle="1" w:styleId="fui-chatmessageauthor">
    <w:name w:val="fui-chatmessage__author"/>
    <w:basedOn w:val="Fuentedeprrafopredeter"/>
    <w:rsid w:val="00F040E5"/>
  </w:style>
  <w:style w:type="character" w:customStyle="1" w:styleId="ui-provider">
    <w:name w:val="ui-provider"/>
    <w:basedOn w:val="Fuentedeprrafopredeter"/>
    <w:rsid w:val="00501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5733">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221254211">
      <w:bodyDiv w:val="1"/>
      <w:marLeft w:val="0"/>
      <w:marRight w:val="0"/>
      <w:marTop w:val="0"/>
      <w:marBottom w:val="0"/>
      <w:divBdr>
        <w:top w:val="none" w:sz="0" w:space="0" w:color="auto"/>
        <w:left w:val="none" w:sz="0" w:space="0" w:color="auto"/>
        <w:bottom w:val="none" w:sz="0" w:space="0" w:color="auto"/>
        <w:right w:val="none" w:sz="0" w:space="0" w:color="auto"/>
      </w:divBdr>
      <w:divsChild>
        <w:div w:id="494076698">
          <w:marLeft w:val="0"/>
          <w:marRight w:val="0"/>
          <w:marTop w:val="0"/>
          <w:marBottom w:val="0"/>
          <w:divBdr>
            <w:top w:val="none" w:sz="0" w:space="0" w:color="auto"/>
            <w:left w:val="none" w:sz="0" w:space="0" w:color="auto"/>
            <w:bottom w:val="none" w:sz="0" w:space="0" w:color="auto"/>
            <w:right w:val="none" w:sz="0" w:space="0" w:color="auto"/>
          </w:divBdr>
          <w:divsChild>
            <w:div w:id="1161118925">
              <w:marLeft w:val="0"/>
              <w:marRight w:val="0"/>
              <w:marTop w:val="0"/>
              <w:marBottom w:val="0"/>
              <w:divBdr>
                <w:top w:val="none" w:sz="0" w:space="0" w:color="auto"/>
                <w:left w:val="none" w:sz="0" w:space="0" w:color="auto"/>
                <w:bottom w:val="none" w:sz="0" w:space="0" w:color="auto"/>
                <w:right w:val="none" w:sz="0" w:space="0" w:color="auto"/>
              </w:divBdr>
            </w:div>
            <w:div w:id="138765636">
              <w:marLeft w:val="0"/>
              <w:marRight w:val="0"/>
              <w:marTop w:val="0"/>
              <w:marBottom w:val="0"/>
              <w:divBdr>
                <w:top w:val="none" w:sz="0" w:space="0" w:color="auto"/>
                <w:left w:val="none" w:sz="0" w:space="0" w:color="auto"/>
                <w:bottom w:val="none" w:sz="0" w:space="0" w:color="auto"/>
                <w:right w:val="none" w:sz="0" w:space="0" w:color="auto"/>
              </w:divBdr>
            </w:div>
            <w:div w:id="152189839">
              <w:marLeft w:val="0"/>
              <w:marRight w:val="0"/>
              <w:marTop w:val="0"/>
              <w:marBottom w:val="0"/>
              <w:divBdr>
                <w:top w:val="none" w:sz="0" w:space="0" w:color="auto"/>
                <w:left w:val="none" w:sz="0" w:space="0" w:color="auto"/>
                <w:bottom w:val="none" w:sz="0" w:space="0" w:color="auto"/>
                <w:right w:val="none" w:sz="0" w:space="0" w:color="auto"/>
              </w:divBdr>
            </w:div>
            <w:div w:id="79063640">
              <w:marLeft w:val="0"/>
              <w:marRight w:val="0"/>
              <w:marTop w:val="0"/>
              <w:marBottom w:val="0"/>
              <w:divBdr>
                <w:top w:val="none" w:sz="0" w:space="0" w:color="auto"/>
                <w:left w:val="none" w:sz="0" w:space="0" w:color="auto"/>
                <w:bottom w:val="none" w:sz="0" w:space="0" w:color="auto"/>
                <w:right w:val="none" w:sz="0" w:space="0" w:color="auto"/>
              </w:divBdr>
            </w:div>
            <w:div w:id="1708066322">
              <w:marLeft w:val="0"/>
              <w:marRight w:val="0"/>
              <w:marTop w:val="0"/>
              <w:marBottom w:val="0"/>
              <w:divBdr>
                <w:top w:val="none" w:sz="0" w:space="0" w:color="auto"/>
                <w:left w:val="none" w:sz="0" w:space="0" w:color="auto"/>
                <w:bottom w:val="none" w:sz="0" w:space="0" w:color="auto"/>
                <w:right w:val="none" w:sz="0" w:space="0" w:color="auto"/>
              </w:divBdr>
            </w:div>
            <w:div w:id="1555506959">
              <w:marLeft w:val="0"/>
              <w:marRight w:val="0"/>
              <w:marTop w:val="0"/>
              <w:marBottom w:val="0"/>
              <w:divBdr>
                <w:top w:val="none" w:sz="0" w:space="0" w:color="auto"/>
                <w:left w:val="none" w:sz="0" w:space="0" w:color="auto"/>
                <w:bottom w:val="none" w:sz="0" w:space="0" w:color="auto"/>
                <w:right w:val="none" w:sz="0" w:space="0" w:color="auto"/>
              </w:divBdr>
            </w:div>
            <w:div w:id="1877153830">
              <w:marLeft w:val="0"/>
              <w:marRight w:val="0"/>
              <w:marTop w:val="0"/>
              <w:marBottom w:val="0"/>
              <w:divBdr>
                <w:top w:val="none" w:sz="0" w:space="0" w:color="auto"/>
                <w:left w:val="none" w:sz="0" w:space="0" w:color="auto"/>
                <w:bottom w:val="none" w:sz="0" w:space="0" w:color="auto"/>
                <w:right w:val="none" w:sz="0" w:space="0" w:color="auto"/>
              </w:divBdr>
            </w:div>
            <w:div w:id="1892225402">
              <w:marLeft w:val="0"/>
              <w:marRight w:val="0"/>
              <w:marTop w:val="0"/>
              <w:marBottom w:val="0"/>
              <w:divBdr>
                <w:top w:val="none" w:sz="0" w:space="0" w:color="auto"/>
                <w:left w:val="none" w:sz="0" w:space="0" w:color="auto"/>
                <w:bottom w:val="none" w:sz="0" w:space="0" w:color="auto"/>
                <w:right w:val="none" w:sz="0" w:space="0" w:color="auto"/>
              </w:divBdr>
            </w:div>
            <w:div w:id="1941982120">
              <w:marLeft w:val="0"/>
              <w:marRight w:val="0"/>
              <w:marTop w:val="0"/>
              <w:marBottom w:val="0"/>
              <w:divBdr>
                <w:top w:val="none" w:sz="0" w:space="0" w:color="auto"/>
                <w:left w:val="none" w:sz="0" w:space="0" w:color="auto"/>
                <w:bottom w:val="none" w:sz="0" w:space="0" w:color="auto"/>
                <w:right w:val="none" w:sz="0" w:space="0" w:color="auto"/>
              </w:divBdr>
            </w:div>
            <w:div w:id="940331765">
              <w:marLeft w:val="0"/>
              <w:marRight w:val="0"/>
              <w:marTop w:val="0"/>
              <w:marBottom w:val="0"/>
              <w:divBdr>
                <w:top w:val="none" w:sz="0" w:space="0" w:color="auto"/>
                <w:left w:val="none" w:sz="0" w:space="0" w:color="auto"/>
                <w:bottom w:val="none" w:sz="0" w:space="0" w:color="auto"/>
                <w:right w:val="none" w:sz="0" w:space="0" w:color="auto"/>
              </w:divBdr>
            </w:div>
          </w:divsChild>
        </w:div>
        <w:div w:id="150104558">
          <w:marLeft w:val="0"/>
          <w:marRight w:val="0"/>
          <w:marTop w:val="0"/>
          <w:marBottom w:val="0"/>
          <w:divBdr>
            <w:top w:val="none" w:sz="0" w:space="0" w:color="auto"/>
            <w:left w:val="none" w:sz="0" w:space="0" w:color="auto"/>
            <w:bottom w:val="none" w:sz="0" w:space="0" w:color="auto"/>
            <w:right w:val="none" w:sz="0" w:space="0" w:color="auto"/>
          </w:divBdr>
          <w:divsChild>
            <w:div w:id="1693145753">
              <w:marLeft w:val="0"/>
              <w:marRight w:val="0"/>
              <w:marTop w:val="0"/>
              <w:marBottom w:val="0"/>
              <w:divBdr>
                <w:top w:val="none" w:sz="0" w:space="0" w:color="auto"/>
                <w:left w:val="none" w:sz="0" w:space="0" w:color="auto"/>
                <w:bottom w:val="none" w:sz="0" w:space="0" w:color="auto"/>
                <w:right w:val="none" w:sz="0" w:space="0" w:color="auto"/>
              </w:divBdr>
            </w:div>
            <w:div w:id="943464419">
              <w:marLeft w:val="0"/>
              <w:marRight w:val="0"/>
              <w:marTop w:val="0"/>
              <w:marBottom w:val="0"/>
              <w:divBdr>
                <w:top w:val="none" w:sz="0" w:space="0" w:color="auto"/>
                <w:left w:val="none" w:sz="0" w:space="0" w:color="auto"/>
                <w:bottom w:val="none" w:sz="0" w:space="0" w:color="auto"/>
                <w:right w:val="none" w:sz="0" w:space="0" w:color="auto"/>
              </w:divBdr>
            </w:div>
            <w:div w:id="1657687790">
              <w:marLeft w:val="0"/>
              <w:marRight w:val="0"/>
              <w:marTop w:val="0"/>
              <w:marBottom w:val="0"/>
              <w:divBdr>
                <w:top w:val="none" w:sz="0" w:space="0" w:color="auto"/>
                <w:left w:val="none" w:sz="0" w:space="0" w:color="auto"/>
                <w:bottom w:val="none" w:sz="0" w:space="0" w:color="auto"/>
                <w:right w:val="none" w:sz="0" w:space="0" w:color="auto"/>
              </w:divBdr>
            </w:div>
            <w:div w:id="289632333">
              <w:marLeft w:val="0"/>
              <w:marRight w:val="0"/>
              <w:marTop w:val="0"/>
              <w:marBottom w:val="0"/>
              <w:divBdr>
                <w:top w:val="none" w:sz="0" w:space="0" w:color="auto"/>
                <w:left w:val="none" w:sz="0" w:space="0" w:color="auto"/>
                <w:bottom w:val="none" w:sz="0" w:space="0" w:color="auto"/>
                <w:right w:val="none" w:sz="0" w:space="0" w:color="auto"/>
              </w:divBdr>
            </w:div>
            <w:div w:id="1766731490">
              <w:marLeft w:val="0"/>
              <w:marRight w:val="0"/>
              <w:marTop w:val="0"/>
              <w:marBottom w:val="0"/>
              <w:divBdr>
                <w:top w:val="none" w:sz="0" w:space="0" w:color="auto"/>
                <w:left w:val="none" w:sz="0" w:space="0" w:color="auto"/>
                <w:bottom w:val="none" w:sz="0" w:space="0" w:color="auto"/>
                <w:right w:val="none" w:sz="0" w:space="0" w:color="auto"/>
              </w:divBdr>
            </w:div>
            <w:div w:id="426659377">
              <w:marLeft w:val="0"/>
              <w:marRight w:val="0"/>
              <w:marTop w:val="0"/>
              <w:marBottom w:val="0"/>
              <w:divBdr>
                <w:top w:val="none" w:sz="0" w:space="0" w:color="auto"/>
                <w:left w:val="none" w:sz="0" w:space="0" w:color="auto"/>
                <w:bottom w:val="none" w:sz="0" w:space="0" w:color="auto"/>
                <w:right w:val="none" w:sz="0" w:space="0" w:color="auto"/>
              </w:divBdr>
            </w:div>
            <w:div w:id="1518234774">
              <w:marLeft w:val="0"/>
              <w:marRight w:val="0"/>
              <w:marTop w:val="0"/>
              <w:marBottom w:val="0"/>
              <w:divBdr>
                <w:top w:val="none" w:sz="0" w:space="0" w:color="auto"/>
                <w:left w:val="none" w:sz="0" w:space="0" w:color="auto"/>
                <w:bottom w:val="none" w:sz="0" w:space="0" w:color="auto"/>
                <w:right w:val="none" w:sz="0" w:space="0" w:color="auto"/>
              </w:divBdr>
            </w:div>
            <w:div w:id="1441602341">
              <w:marLeft w:val="0"/>
              <w:marRight w:val="0"/>
              <w:marTop w:val="0"/>
              <w:marBottom w:val="0"/>
              <w:divBdr>
                <w:top w:val="none" w:sz="0" w:space="0" w:color="auto"/>
                <w:left w:val="none" w:sz="0" w:space="0" w:color="auto"/>
                <w:bottom w:val="none" w:sz="0" w:space="0" w:color="auto"/>
                <w:right w:val="none" w:sz="0" w:space="0" w:color="auto"/>
              </w:divBdr>
            </w:div>
            <w:div w:id="1621767648">
              <w:marLeft w:val="0"/>
              <w:marRight w:val="0"/>
              <w:marTop w:val="0"/>
              <w:marBottom w:val="0"/>
              <w:divBdr>
                <w:top w:val="none" w:sz="0" w:space="0" w:color="auto"/>
                <w:left w:val="none" w:sz="0" w:space="0" w:color="auto"/>
                <w:bottom w:val="none" w:sz="0" w:space="0" w:color="auto"/>
                <w:right w:val="none" w:sz="0" w:space="0" w:color="auto"/>
              </w:divBdr>
            </w:div>
            <w:div w:id="1718356263">
              <w:marLeft w:val="0"/>
              <w:marRight w:val="0"/>
              <w:marTop w:val="0"/>
              <w:marBottom w:val="0"/>
              <w:divBdr>
                <w:top w:val="none" w:sz="0" w:space="0" w:color="auto"/>
                <w:left w:val="none" w:sz="0" w:space="0" w:color="auto"/>
                <w:bottom w:val="none" w:sz="0" w:space="0" w:color="auto"/>
                <w:right w:val="none" w:sz="0" w:space="0" w:color="auto"/>
              </w:divBdr>
            </w:div>
            <w:div w:id="942424386">
              <w:marLeft w:val="0"/>
              <w:marRight w:val="0"/>
              <w:marTop w:val="0"/>
              <w:marBottom w:val="0"/>
              <w:divBdr>
                <w:top w:val="none" w:sz="0" w:space="0" w:color="auto"/>
                <w:left w:val="none" w:sz="0" w:space="0" w:color="auto"/>
                <w:bottom w:val="none" w:sz="0" w:space="0" w:color="auto"/>
                <w:right w:val="none" w:sz="0" w:space="0" w:color="auto"/>
              </w:divBdr>
            </w:div>
            <w:div w:id="155075625">
              <w:marLeft w:val="0"/>
              <w:marRight w:val="0"/>
              <w:marTop w:val="0"/>
              <w:marBottom w:val="0"/>
              <w:divBdr>
                <w:top w:val="none" w:sz="0" w:space="0" w:color="auto"/>
                <w:left w:val="none" w:sz="0" w:space="0" w:color="auto"/>
                <w:bottom w:val="none" w:sz="0" w:space="0" w:color="auto"/>
                <w:right w:val="none" w:sz="0" w:space="0" w:color="auto"/>
              </w:divBdr>
            </w:div>
            <w:div w:id="2040547094">
              <w:marLeft w:val="0"/>
              <w:marRight w:val="0"/>
              <w:marTop w:val="0"/>
              <w:marBottom w:val="0"/>
              <w:divBdr>
                <w:top w:val="none" w:sz="0" w:space="0" w:color="auto"/>
                <w:left w:val="none" w:sz="0" w:space="0" w:color="auto"/>
                <w:bottom w:val="none" w:sz="0" w:space="0" w:color="auto"/>
                <w:right w:val="none" w:sz="0" w:space="0" w:color="auto"/>
              </w:divBdr>
            </w:div>
            <w:div w:id="1097168550">
              <w:marLeft w:val="0"/>
              <w:marRight w:val="0"/>
              <w:marTop w:val="0"/>
              <w:marBottom w:val="0"/>
              <w:divBdr>
                <w:top w:val="none" w:sz="0" w:space="0" w:color="auto"/>
                <w:left w:val="none" w:sz="0" w:space="0" w:color="auto"/>
                <w:bottom w:val="none" w:sz="0" w:space="0" w:color="auto"/>
                <w:right w:val="none" w:sz="0" w:space="0" w:color="auto"/>
              </w:divBdr>
            </w:div>
            <w:div w:id="1464158562">
              <w:marLeft w:val="0"/>
              <w:marRight w:val="0"/>
              <w:marTop w:val="0"/>
              <w:marBottom w:val="0"/>
              <w:divBdr>
                <w:top w:val="none" w:sz="0" w:space="0" w:color="auto"/>
                <w:left w:val="none" w:sz="0" w:space="0" w:color="auto"/>
                <w:bottom w:val="none" w:sz="0" w:space="0" w:color="auto"/>
                <w:right w:val="none" w:sz="0" w:space="0" w:color="auto"/>
              </w:divBdr>
            </w:div>
            <w:div w:id="1389912761">
              <w:marLeft w:val="0"/>
              <w:marRight w:val="0"/>
              <w:marTop w:val="0"/>
              <w:marBottom w:val="0"/>
              <w:divBdr>
                <w:top w:val="none" w:sz="0" w:space="0" w:color="auto"/>
                <w:left w:val="none" w:sz="0" w:space="0" w:color="auto"/>
                <w:bottom w:val="none" w:sz="0" w:space="0" w:color="auto"/>
                <w:right w:val="none" w:sz="0" w:space="0" w:color="auto"/>
              </w:divBdr>
            </w:div>
          </w:divsChild>
        </w:div>
        <w:div w:id="2053840073">
          <w:marLeft w:val="0"/>
          <w:marRight w:val="0"/>
          <w:marTop w:val="0"/>
          <w:marBottom w:val="0"/>
          <w:divBdr>
            <w:top w:val="none" w:sz="0" w:space="0" w:color="auto"/>
            <w:left w:val="none" w:sz="0" w:space="0" w:color="auto"/>
            <w:bottom w:val="none" w:sz="0" w:space="0" w:color="auto"/>
            <w:right w:val="none" w:sz="0" w:space="0" w:color="auto"/>
          </w:divBdr>
        </w:div>
        <w:div w:id="1542788711">
          <w:marLeft w:val="0"/>
          <w:marRight w:val="0"/>
          <w:marTop w:val="0"/>
          <w:marBottom w:val="0"/>
          <w:divBdr>
            <w:top w:val="none" w:sz="0" w:space="0" w:color="auto"/>
            <w:left w:val="none" w:sz="0" w:space="0" w:color="auto"/>
            <w:bottom w:val="none" w:sz="0" w:space="0" w:color="auto"/>
            <w:right w:val="none" w:sz="0" w:space="0" w:color="auto"/>
          </w:divBdr>
        </w:div>
        <w:div w:id="2009289922">
          <w:marLeft w:val="0"/>
          <w:marRight w:val="0"/>
          <w:marTop w:val="0"/>
          <w:marBottom w:val="0"/>
          <w:divBdr>
            <w:top w:val="none" w:sz="0" w:space="0" w:color="auto"/>
            <w:left w:val="none" w:sz="0" w:space="0" w:color="auto"/>
            <w:bottom w:val="none" w:sz="0" w:space="0" w:color="auto"/>
            <w:right w:val="none" w:sz="0" w:space="0" w:color="auto"/>
          </w:divBdr>
        </w:div>
        <w:div w:id="864052130">
          <w:marLeft w:val="0"/>
          <w:marRight w:val="0"/>
          <w:marTop w:val="0"/>
          <w:marBottom w:val="0"/>
          <w:divBdr>
            <w:top w:val="none" w:sz="0" w:space="0" w:color="auto"/>
            <w:left w:val="none" w:sz="0" w:space="0" w:color="auto"/>
            <w:bottom w:val="none" w:sz="0" w:space="0" w:color="auto"/>
            <w:right w:val="none" w:sz="0" w:space="0" w:color="auto"/>
          </w:divBdr>
        </w:div>
        <w:div w:id="1573007693">
          <w:marLeft w:val="0"/>
          <w:marRight w:val="0"/>
          <w:marTop w:val="0"/>
          <w:marBottom w:val="0"/>
          <w:divBdr>
            <w:top w:val="none" w:sz="0" w:space="0" w:color="auto"/>
            <w:left w:val="none" w:sz="0" w:space="0" w:color="auto"/>
            <w:bottom w:val="none" w:sz="0" w:space="0" w:color="auto"/>
            <w:right w:val="none" w:sz="0" w:space="0" w:color="auto"/>
          </w:divBdr>
        </w:div>
        <w:div w:id="2110151543">
          <w:marLeft w:val="0"/>
          <w:marRight w:val="0"/>
          <w:marTop w:val="0"/>
          <w:marBottom w:val="0"/>
          <w:divBdr>
            <w:top w:val="none" w:sz="0" w:space="0" w:color="auto"/>
            <w:left w:val="none" w:sz="0" w:space="0" w:color="auto"/>
            <w:bottom w:val="none" w:sz="0" w:space="0" w:color="auto"/>
            <w:right w:val="none" w:sz="0" w:space="0" w:color="auto"/>
          </w:divBdr>
        </w:div>
      </w:divsChild>
    </w:div>
    <w:div w:id="228266868">
      <w:bodyDiv w:val="1"/>
      <w:marLeft w:val="0"/>
      <w:marRight w:val="0"/>
      <w:marTop w:val="0"/>
      <w:marBottom w:val="0"/>
      <w:divBdr>
        <w:top w:val="none" w:sz="0" w:space="0" w:color="auto"/>
        <w:left w:val="none" w:sz="0" w:space="0" w:color="auto"/>
        <w:bottom w:val="none" w:sz="0" w:space="0" w:color="auto"/>
        <w:right w:val="none" w:sz="0" w:space="0" w:color="auto"/>
      </w:divBdr>
    </w:div>
    <w:div w:id="256250236">
      <w:bodyDiv w:val="1"/>
      <w:marLeft w:val="0"/>
      <w:marRight w:val="0"/>
      <w:marTop w:val="0"/>
      <w:marBottom w:val="0"/>
      <w:divBdr>
        <w:top w:val="none" w:sz="0" w:space="0" w:color="auto"/>
        <w:left w:val="none" w:sz="0" w:space="0" w:color="auto"/>
        <w:bottom w:val="none" w:sz="0" w:space="0" w:color="auto"/>
        <w:right w:val="none" w:sz="0" w:space="0" w:color="auto"/>
      </w:divBdr>
    </w:div>
    <w:div w:id="273680110">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495733626">
      <w:bodyDiv w:val="1"/>
      <w:marLeft w:val="0"/>
      <w:marRight w:val="0"/>
      <w:marTop w:val="0"/>
      <w:marBottom w:val="0"/>
      <w:divBdr>
        <w:top w:val="none" w:sz="0" w:space="0" w:color="auto"/>
        <w:left w:val="none" w:sz="0" w:space="0" w:color="auto"/>
        <w:bottom w:val="none" w:sz="0" w:space="0" w:color="auto"/>
        <w:right w:val="none" w:sz="0" w:space="0" w:color="auto"/>
      </w:divBdr>
    </w:div>
    <w:div w:id="505442985">
      <w:bodyDiv w:val="1"/>
      <w:marLeft w:val="0"/>
      <w:marRight w:val="0"/>
      <w:marTop w:val="0"/>
      <w:marBottom w:val="0"/>
      <w:divBdr>
        <w:top w:val="none" w:sz="0" w:space="0" w:color="auto"/>
        <w:left w:val="none" w:sz="0" w:space="0" w:color="auto"/>
        <w:bottom w:val="none" w:sz="0" w:space="0" w:color="auto"/>
        <w:right w:val="none" w:sz="0" w:space="0" w:color="auto"/>
      </w:divBdr>
    </w:div>
    <w:div w:id="510996692">
      <w:bodyDiv w:val="1"/>
      <w:marLeft w:val="0"/>
      <w:marRight w:val="0"/>
      <w:marTop w:val="0"/>
      <w:marBottom w:val="0"/>
      <w:divBdr>
        <w:top w:val="none" w:sz="0" w:space="0" w:color="auto"/>
        <w:left w:val="none" w:sz="0" w:space="0" w:color="auto"/>
        <w:bottom w:val="none" w:sz="0" w:space="0" w:color="auto"/>
        <w:right w:val="none" w:sz="0" w:space="0" w:color="auto"/>
      </w:divBdr>
    </w:div>
    <w:div w:id="553780332">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08338054">
      <w:bodyDiv w:val="1"/>
      <w:marLeft w:val="0"/>
      <w:marRight w:val="0"/>
      <w:marTop w:val="0"/>
      <w:marBottom w:val="0"/>
      <w:divBdr>
        <w:top w:val="none" w:sz="0" w:space="0" w:color="auto"/>
        <w:left w:val="none" w:sz="0" w:space="0" w:color="auto"/>
        <w:bottom w:val="none" w:sz="0" w:space="0" w:color="auto"/>
        <w:right w:val="none" w:sz="0" w:space="0" w:color="auto"/>
      </w:divBdr>
    </w:div>
    <w:div w:id="712388946">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83325515">
      <w:bodyDiv w:val="1"/>
      <w:marLeft w:val="0"/>
      <w:marRight w:val="0"/>
      <w:marTop w:val="0"/>
      <w:marBottom w:val="0"/>
      <w:divBdr>
        <w:top w:val="none" w:sz="0" w:space="0" w:color="auto"/>
        <w:left w:val="none" w:sz="0" w:space="0" w:color="auto"/>
        <w:bottom w:val="none" w:sz="0" w:space="0" w:color="auto"/>
        <w:right w:val="none" w:sz="0" w:space="0" w:color="auto"/>
      </w:divBdr>
      <w:divsChild>
        <w:div w:id="1804153661">
          <w:marLeft w:val="0"/>
          <w:marRight w:val="0"/>
          <w:marTop w:val="0"/>
          <w:marBottom w:val="0"/>
          <w:divBdr>
            <w:top w:val="none" w:sz="0" w:space="0" w:color="auto"/>
            <w:left w:val="none" w:sz="0" w:space="0" w:color="auto"/>
            <w:bottom w:val="none" w:sz="0" w:space="0" w:color="auto"/>
            <w:right w:val="none" w:sz="0" w:space="0" w:color="auto"/>
          </w:divBdr>
        </w:div>
        <w:div w:id="86343223">
          <w:marLeft w:val="0"/>
          <w:marRight w:val="0"/>
          <w:marTop w:val="0"/>
          <w:marBottom w:val="0"/>
          <w:divBdr>
            <w:top w:val="none" w:sz="0" w:space="0" w:color="auto"/>
            <w:left w:val="none" w:sz="0" w:space="0" w:color="auto"/>
            <w:bottom w:val="none" w:sz="0" w:space="0" w:color="auto"/>
            <w:right w:val="none" w:sz="0" w:space="0" w:color="auto"/>
          </w:divBdr>
          <w:divsChild>
            <w:div w:id="1438673066">
              <w:marLeft w:val="0"/>
              <w:marRight w:val="165"/>
              <w:marTop w:val="150"/>
              <w:marBottom w:val="0"/>
              <w:divBdr>
                <w:top w:val="none" w:sz="0" w:space="0" w:color="auto"/>
                <w:left w:val="none" w:sz="0" w:space="0" w:color="auto"/>
                <w:bottom w:val="none" w:sz="0" w:space="0" w:color="auto"/>
                <w:right w:val="none" w:sz="0" w:space="0" w:color="auto"/>
              </w:divBdr>
              <w:divsChild>
                <w:div w:id="239366631">
                  <w:marLeft w:val="0"/>
                  <w:marRight w:val="0"/>
                  <w:marTop w:val="0"/>
                  <w:marBottom w:val="0"/>
                  <w:divBdr>
                    <w:top w:val="none" w:sz="0" w:space="0" w:color="auto"/>
                    <w:left w:val="none" w:sz="0" w:space="0" w:color="auto"/>
                    <w:bottom w:val="none" w:sz="0" w:space="0" w:color="auto"/>
                    <w:right w:val="none" w:sz="0" w:space="0" w:color="auto"/>
                  </w:divBdr>
                  <w:divsChild>
                    <w:div w:id="13374154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86755470">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31746256">
      <w:bodyDiv w:val="1"/>
      <w:marLeft w:val="0"/>
      <w:marRight w:val="0"/>
      <w:marTop w:val="0"/>
      <w:marBottom w:val="0"/>
      <w:divBdr>
        <w:top w:val="none" w:sz="0" w:space="0" w:color="auto"/>
        <w:left w:val="none" w:sz="0" w:space="0" w:color="auto"/>
        <w:bottom w:val="none" w:sz="0" w:space="0" w:color="auto"/>
        <w:right w:val="none" w:sz="0" w:space="0" w:color="auto"/>
      </w:divBdr>
    </w:div>
    <w:div w:id="1717896418">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88893543">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58496298">
      <w:bodyDiv w:val="1"/>
      <w:marLeft w:val="0"/>
      <w:marRight w:val="0"/>
      <w:marTop w:val="0"/>
      <w:marBottom w:val="0"/>
      <w:divBdr>
        <w:top w:val="none" w:sz="0" w:space="0" w:color="auto"/>
        <w:left w:val="none" w:sz="0" w:space="0" w:color="auto"/>
        <w:bottom w:val="none" w:sz="0" w:space="0" w:color="auto"/>
        <w:right w:val="none" w:sz="0" w:space="0" w:color="auto"/>
      </w:divBdr>
    </w:div>
    <w:div w:id="201229170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an.gomez@manpowergroup.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powergroup.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powergroup.es/estudios/las-moleculas-verdes-la-inminente-revolucion-del-mercado-del-empleo-en-europa-realizado-por-manpowergroup-y-ceps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istina@indiepr.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EF745FD7EF3564C8661EB3C6815CCF5" ma:contentTypeVersion="9" ma:contentTypeDescription="Crear nuevo documento." ma:contentTypeScope="" ma:versionID="e165c3862939d38e6cba944aa7d483ec">
  <xsd:schema xmlns:xsd="http://www.w3.org/2001/XMLSchema" xmlns:xs="http://www.w3.org/2001/XMLSchema" xmlns:p="http://schemas.microsoft.com/office/2006/metadata/properties" xmlns:ns2="43c9052e-3937-42c1-9063-4fc4ad9da218" xmlns:ns3="2a292a87-6601-4841-8a23-66fc3691f3d1" targetNamespace="http://schemas.microsoft.com/office/2006/metadata/properties" ma:root="true" ma:fieldsID="4867b71b59bf6f489511e0fdd6c70cd6" ns2:_="" ns3:_="">
    <xsd:import namespace="43c9052e-3937-42c1-9063-4fc4ad9da218"/>
    <xsd:import namespace="2a292a87-6601-4841-8a23-66fc3691f3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9052e-3937-42c1-9063-4fc4ad9da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292a87-6601-4841-8a23-66fc3691f3d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8717C-33C4-4DC3-B1C2-762E120B6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9052e-3937-42c1-9063-4fc4ad9da218"/>
    <ds:schemaRef ds:uri="2a292a87-6601-4841-8a23-66fc3691f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A5705-41B2-40A1-8F83-45CFC871271E}">
  <ds:schemaRefs>
    <ds:schemaRef ds:uri="http://schemas.openxmlformats.org/officeDocument/2006/bibliography"/>
  </ds:schemaRefs>
</ds:datastoreItem>
</file>

<file path=customXml/itemProps3.xml><?xml version="1.0" encoding="utf-8"?>
<ds:datastoreItem xmlns:ds="http://schemas.openxmlformats.org/officeDocument/2006/customXml" ds:itemID="{571D3C03-6278-4406-8D1E-6B1F4E36F5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67D139-C6C6-4743-8B5C-7D6A899A24B2}">
  <ds:schemaRefs>
    <ds:schemaRef ds:uri="http://schemas.microsoft.com/sharepoint/v3/contenttype/forms"/>
  </ds:schemaRefs>
</ds:datastoreItem>
</file>

<file path=docMetadata/LabelInfo.xml><?xml version="1.0" encoding="utf-8"?>
<clbl:labelList xmlns:clbl="http://schemas.microsoft.com/office/2020/mipLabelMetadata">
  <clbl:label id="{bc5f3009-5bd3-4402-beb1-6e2eb7c68ff2}" enabled="0" method="" siteId="{bc5f3009-5bd3-4402-beb1-6e2eb7c68ff2}"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1426</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 (External Communication)</cp:lastModifiedBy>
  <cp:revision>3</cp:revision>
  <cp:lastPrinted>2022-12-19T17:21:00Z</cp:lastPrinted>
  <dcterms:created xsi:type="dcterms:W3CDTF">2024-01-17T07:34:00Z</dcterms:created>
  <dcterms:modified xsi:type="dcterms:W3CDTF">2024-01-17T07:37:00Z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0x010100DEF745FD7EF3564C8661EB3C6815CCF5</vt:lpwstr>
  </property>
</Properties>
</file>