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BAED" w14:textId="721FDDA5"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E60BC8">
        <w:rPr>
          <w:rFonts w:ascii="Arial" w:eastAsia="Arial" w:hAnsi="Arial" w:cs="Arial"/>
          <w:b/>
          <w:color w:val="000000"/>
          <w:sz w:val="20"/>
          <w:szCs w:val="20"/>
          <w:u w:val="single"/>
        </w:rPr>
        <w:t>octubre</w:t>
      </w:r>
      <w:r w:rsidR="000D22C9">
        <w:rPr>
          <w:rFonts w:ascii="Arial" w:eastAsia="Arial" w:hAnsi="Arial" w:cs="Arial"/>
          <w:b/>
          <w:color w:val="000000"/>
          <w:sz w:val="20"/>
          <w:szCs w:val="20"/>
          <w:u w:val="single"/>
        </w:rPr>
        <w:t>-</w:t>
      </w:r>
      <w:r w:rsidR="00E60BC8">
        <w:rPr>
          <w:rFonts w:ascii="Arial" w:eastAsia="Arial" w:hAnsi="Arial" w:cs="Arial"/>
          <w:b/>
          <w:color w:val="000000"/>
          <w:sz w:val="20"/>
          <w:szCs w:val="20"/>
          <w:u w:val="single"/>
        </w:rPr>
        <w:t>diciembre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38BE5B3D" w14:textId="729F84EA" w:rsidR="00BF4F1C" w:rsidRPr="008C488A" w:rsidRDefault="006B343B" w:rsidP="033FC33E">
      <w:pPr>
        <w:spacing w:before="120" w:line="288" w:lineRule="auto"/>
        <w:jc w:val="center"/>
        <w:rPr>
          <w:rFonts w:ascii="Arial" w:eastAsiaTheme="minorEastAsia" w:hAnsi="Arial" w:cs="Arial"/>
          <w:b/>
          <w:bCs/>
          <w:sz w:val="22"/>
          <w:szCs w:val="22"/>
          <w:lang w:eastAsia="zh-CN"/>
        </w:rPr>
      </w:pPr>
      <w:r w:rsidRPr="033FC33E">
        <w:rPr>
          <w:rFonts w:ascii="Arial" w:eastAsia="Arial" w:hAnsi="Arial" w:cs="Arial"/>
          <w:b/>
          <w:bCs/>
          <w:sz w:val="36"/>
          <w:szCs w:val="36"/>
        </w:rPr>
        <w:t xml:space="preserve">Galicia, Asturias y Castilla y León </w:t>
      </w:r>
      <w:r w:rsidR="00E60BC8" w:rsidRPr="033FC33E">
        <w:rPr>
          <w:rFonts w:ascii="Arial" w:eastAsia="Arial" w:hAnsi="Arial" w:cs="Arial"/>
          <w:b/>
          <w:bCs/>
          <w:sz w:val="36"/>
          <w:szCs w:val="36"/>
        </w:rPr>
        <w:t>mejoran sus previsiones de c</w:t>
      </w:r>
      <w:r w:rsidR="2006F1D7" w:rsidRPr="033FC33E">
        <w:rPr>
          <w:rFonts w:ascii="Arial" w:eastAsia="Arial" w:hAnsi="Arial" w:cs="Arial"/>
          <w:b/>
          <w:bCs/>
          <w:sz w:val="36"/>
          <w:szCs w:val="36"/>
        </w:rPr>
        <w:t>reación de empleo</w:t>
      </w:r>
      <w:r w:rsidR="00E60BC8" w:rsidRPr="033FC33E">
        <w:rPr>
          <w:rFonts w:ascii="Arial" w:eastAsia="Arial" w:hAnsi="Arial" w:cs="Arial"/>
          <w:b/>
          <w:bCs/>
          <w:sz w:val="36"/>
          <w:szCs w:val="36"/>
        </w:rPr>
        <w:t xml:space="preserve"> </w:t>
      </w:r>
      <w:r w:rsidR="3A21765D" w:rsidRPr="033FC33E">
        <w:rPr>
          <w:rFonts w:ascii="Arial" w:eastAsia="Arial" w:hAnsi="Arial" w:cs="Arial"/>
          <w:b/>
          <w:bCs/>
          <w:sz w:val="36"/>
          <w:szCs w:val="36"/>
        </w:rPr>
        <w:t>co</w:t>
      </w:r>
      <w:r w:rsidR="00E60BC8" w:rsidRPr="033FC33E">
        <w:rPr>
          <w:rFonts w:ascii="Arial" w:eastAsia="Arial" w:hAnsi="Arial" w:cs="Arial"/>
          <w:b/>
          <w:bCs/>
          <w:sz w:val="36"/>
          <w:szCs w:val="36"/>
        </w:rPr>
        <w:t>n un</w:t>
      </w:r>
      <w:r w:rsidR="0027712D" w:rsidRPr="033FC33E">
        <w:rPr>
          <w:rFonts w:ascii="Arial" w:eastAsia="Arial" w:hAnsi="Arial" w:cs="Arial"/>
          <w:b/>
          <w:bCs/>
          <w:sz w:val="36"/>
          <w:szCs w:val="36"/>
        </w:rPr>
        <w:t>as expectativas de contratación del</w:t>
      </w:r>
      <w:r w:rsidR="00E60BC8" w:rsidRPr="033FC33E">
        <w:rPr>
          <w:rFonts w:ascii="Arial" w:eastAsia="Arial" w:hAnsi="Arial" w:cs="Arial"/>
          <w:b/>
          <w:bCs/>
          <w:sz w:val="36"/>
          <w:szCs w:val="36"/>
        </w:rPr>
        <w:t xml:space="preserve"> 14% </w:t>
      </w:r>
    </w:p>
    <w:p w14:paraId="6DD9DFD7" w14:textId="30C234BF" w:rsidR="00590163" w:rsidRPr="0027712D" w:rsidRDefault="008C488A" w:rsidP="00D7786F">
      <w:pPr>
        <w:pStyle w:val="Prrafodelista"/>
        <w:numPr>
          <w:ilvl w:val="0"/>
          <w:numId w:val="1"/>
        </w:numPr>
        <w:spacing w:before="120" w:line="288" w:lineRule="auto"/>
        <w:ind w:left="360"/>
        <w:contextualSpacing w:val="0"/>
        <w:jc w:val="both"/>
        <w:rPr>
          <w:rFonts w:ascii="Arial" w:eastAsiaTheme="minorEastAsia" w:hAnsi="Arial" w:cs="Arial"/>
          <w:b/>
          <w:bCs/>
          <w:color w:val="000000" w:themeColor="text1"/>
          <w:sz w:val="22"/>
          <w:szCs w:val="22"/>
          <w:lang w:eastAsia="zh-CN"/>
        </w:rPr>
      </w:pPr>
      <w:r w:rsidRPr="007A4473">
        <w:rPr>
          <w:rFonts w:ascii="Arial" w:eastAsia="Arial" w:hAnsi="Arial" w:cs="Arial"/>
          <w:b/>
          <w:color w:val="000000" w:themeColor="text1"/>
          <w:sz w:val="23"/>
          <w:szCs w:val="23"/>
        </w:rPr>
        <w:t xml:space="preserve">Galicia, Asturias y Castilla y León </w:t>
      </w:r>
      <w:r w:rsidR="007A4473" w:rsidRPr="007A4473">
        <w:rPr>
          <w:rFonts w:ascii="Arial" w:eastAsia="Arial" w:hAnsi="Arial" w:cs="Arial"/>
          <w:b/>
          <w:color w:val="000000" w:themeColor="text1"/>
          <w:sz w:val="23"/>
          <w:szCs w:val="23"/>
        </w:rPr>
        <w:t>aumentan</w:t>
      </w:r>
      <w:r w:rsidRPr="007A4473">
        <w:rPr>
          <w:rFonts w:ascii="Arial" w:eastAsia="Arial" w:hAnsi="Arial" w:cs="Arial"/>
          <w:b/>
          <w:color w:val="000000" w:themeColor="text1"/>
          <w:sz w:val="23"/>
          <w:szCs w:val="23"/>
        </w:rPr>
        <w:t xml:space="preserve"> su confianza</w:t>
      </w:r>
      <w:r w:rsidR="00BF4F1C" w:rsidRPr="007A4473">
        <w:rPr>
          <w:rFonts w:ascii="Arial" w:eastAsia="Arial" w:hAnsi="Arial" w:cs="Arial"/>
          <w:b/>
          <w:color w:val="000000" w:themeColor="text1"/>
          <w:sz w:val="23"/>
          <w:szCs w:val="23"/>
        </w:rPr>
        <w:t>,</w:t>
      </w:r>
      <w:r w:rsidRPr="007A4473">
        <w:rPr>
          <w:rFonts w:ascii="Arial" w:eastAsia="Arial" w:hAnsi="Arial" w:cs="Arial"/>
          <w:b/>
          <w:color w:val="000000" w:themeColor="text1"/>
          <w:sz w:val="23"/>
          <w:szCs w:val="23"/>
        </w:rPr>
        <w:t xml:space="preserve"> </w:t>
      </w:r>
      <w:r w:rsidR="007A4473" w:rsidRPr="007A4473">
        <w:rPr>
          <w:rFonts w:ascii="Arial" w:eastAsia="Arial" w:hAnsi="Arial" w:cs="Arial"/>
          <w:b/>
          <w:color w:val="000000" w:themeColor="text1"/>
          <w:sz w:val="23"/>
          <w:szCs w:val="23"/>
        </w:rPr>
        <w:t>creciendo</w:t>
      </w:r>
      <w:r w:rsidR="00BF4F1C" w:rsidRPr="007A4473">
        <w:rPr>
          <w:rFonts w:ascii="Arial" w:eastAsia="Arial" w:hAnsi="Arial" w:cs="Arial"/>
          <w:b/>
          <w:color w:val="000000" w:themeColor="text1"/>
          <w:sz w:val="23"/>
          <w:szCs w:val="23"/>
        </w:rPr>
        <w:t xml:space="preserve"> </w:t>
      </w:r>
      <w:r w:rsidR="007A4473" w:rsidRPr="007A4473">
        <w:rPr>
          <w:rFonts w:ascii="Arial" w:eastAsia="Arial" w:hAnsi="Arial" w:cs="Arial"/>
          <w:b/>
          <w:color w:val="000000" w:themeColor="text1"/>
          <w:sz w:val="23"/>
          <w:szCs w:val="23"/>
        </w:rPr>
        <w:t>5</w:t>
      </w:r>
      <w:r w:rsidR="00BF4F1C" w:rsidRPr="007A4473">
        <w:rPr>
          <w:rFonts w:ascii="Arial" w:eastAsia="Arial" w:hAnsi="Arial" w:cs="Arial"/>
          <w:b/>
          <w:color w:val="000000" w:themeColor="text1"/>
          <w:sz w:val="23"/>
          <w:szCs w:val="23"/>
        </w:rPr>
        <w:t xml:space="preserve"> puntos respecto al </w:t>
      </w:r>
      <w:r w:rsidRPr="007A4473">
        <w:rPr>
          <w:rFonts w:ascii="Arial" w:eastAsia="Arial" w:hAnsi="Arial" w:cs="Arial"/>
          <w:b/>
          <w:color w:val="000000" w:themeColor="text1"/>
          <w:sz w:val="23"/>
          <w:szCs w:val="23"/>
        </w:rPr>
        <w:t xml:space="preserve">trimestre </w:t>
      </w:r>
      <w:r w:rsidR="00BF4F1C" w:rsidRPr="007A4473">
        <w:rPr>
          <w:rFonts w:ascii="Arial" w:eastAsia="Arial" w:hAnsi="Arial" w:cs="Arial"/>
          <w:b/>
          <w:color w:val="000000" w:themeColor="text1"/>
          <w:sz w:val="23"/>
          <w:szCs w:val="23"/>
        </w:rPr>
        <w:t>anterior</w:t>
      </w:r>
    </w:p>
    <w:p w14:paraId="0FC4F605" w14:textId="0AFC78D8" w:rsidR="0027712D" w:rsidRPr="007A4473" w:rsidRDefault="0027712D" w:rsidP="22BA2E15">
      <w:pPr>
        <w:pStyle w:val="Prrafodelista"/>
        <w:numPr>
          <w:ilvl w:val="0"/>
          <w:numId w:val="1"/>
        </w:numPr>
        <w:spacing w:before="120" w:line="288" w:lineRule="auto"/>
        <w:ind w:left="360"/>
        <w:jc w:val="both"/>
        <w:rPr>
          <w:rFonts w:ascii="Arial" w:eastAsiaTheme="minorEastAsia" w:hAnsi="Arial" w:cs="Arial"/>
          <w:b/>
          <w:bCs/>
          <w:color w:val="000000" w:themeColor="text1"/>
          <w:sz w:val="22"/>
          <w:szCs w:val="22"/>
          <w:lang w:eastAsia="zh-CN"/>
        </w:rPr>
      </w:pPr>
      <w:r w:rsidRPr="7347A71C">
        <w:rPr>
          <w:rFonts w:ascii="Arial" w:eastAsia="Arial" w:hAnsi="Arial" w:cs="Arial"/>
          <w:b/>
          <w:bCs/>
          <w:color w:val="000000" w:themeColor="text1"/>
          <w:sz w:val="23"/>
          <w:szCs w:val="23"/>
        </w:rPr>
        <w:t>Se mantienen</w:t>
      </w:r>
      <w:r w:rsidR="37965CFD" w:rsidRPr="7347A71C">
        <w:rPr>
          <w:rFonts w:ascii="Arial" w:eastAsia="Arial" w:hAnsi="Arial" w:cs="Arial"/>
          <w:b/>
          <w:bCs/>
          <w:color w:val="000000" w:themeColor="text1"/>
          <w:sz w:val="23"/>
          <w:szCs w:val="23"/>
        </w:rPr>
        <w:t xml:space="preserve"> así</w:t>
      </w:r>
      <w:r w:rsidRPr="7347A71C">
        <w:rPr>
          <w:rFonts w:ascii="Arial" w:eastAsia="Arial" w:hAnsi="Arial" w:cs="Arial"/>
          <w:b/>
          <w:bCs/>
          <w:color w:val="000000" w:themeColor="text1"/>
          <w:sz w:val="23"/>
          <w:szCs w:val="23"/>
        </w:rPr>
        <w:t xml:space="preserve"> </w:t>
      </w:r>
      <w:r w:rsidR="5A2A662E" w:rsidRPr="7347A71C">
        <w:rPr>
          <w:rFonts w:ascii="Arial" w:eastAsia="Arial" w:hAnsi="Arial" w:cs="Arial"/>
          <w:b/>
          <w:bCs/>
          <w:color w:val="000000" w:themeColor="text1"/>
          <w:sz w:val="23"/>
          <w:szCs w:val="23"/>
        </w:rPr>
        <w:t>en la misma cifra</w:t>
      </w:r>
      <w:r w:rsidRPr="7347A71C">
        <w:rPr>
          <w:rFonts w:ascii="Arial" w:eastAsia="Arial" w:hAnsi="Arial" w:cs="Arial"/>
          <w:b/>
          <w:bCs/>
          <w:color w:val="000000" w:themeColor="text1"/>
          <w:sz w:val="23"/>
          <w:szCs w:val="23"/>
        </w:rPr>
        <w:t xml:space="preserve"> que en el mismo periodo de 2024</w:t>
      </w:r>
      <w:r w:rsidR="15F2289B" w:rsidRPr="7347A71C">
        <w:rPr>
          <w:rFonts w:ascii="Arial" w:eastAsia="Arial" w:hAnsi="Arial" w:cs="Arial"/>
          <w:b/>
          <w:bCs/>
          <w:color w:val="000000" w:themeColor="text1"/>
          <w:sz w:val="23"/>
          <w:szCs w:val="23"/>
        </w:rPr>
        <w:t xml:space="preserve"> pero</w:t>
      </w:r>
      <w:r w:rsidRPr="7347A71C">
        <w:rPr>
          <w:rFonts w:ascii="Arial" w:eastAsia="Arial" w:hAnsi="Arial" w:cs="Arial"/>
          <w:b/>
          <w:bCs/>
          <w:color w:val="000000" w:themeColor="text1"/>
          <w:sz w:val="23"/>
          <w:szCs w:val="23"/>
        </w:rPr>
        <w:t xml:space="preserve"> 3 puntos por debajo de la media nacional (17%)</w:t>
      </w:r>
    </w:p>
    <w:p w14:paraId="663BF646" w14:textId="256E40D4" w:rsidR="00DF417F" w:rsidRPr="007A4473" w:rsidRDefault="00DB7261" w:rsidP="00D7786F">
      <w:pPr>
        <w:pStyle w:val="Prrafodelista"/>
        <w:numPr>
          <w:ilvl w:val="0"/>
          <w:numId w:val="1"/>
        </w:numPr>
        <w:spacing w:before="120" w:line="288" w:lineRule="auto"/>
        <w:ind w:left="360"/>
        <w:contextualSpacing w:val="0"/>
        <w:jc w:val="both"/>
        <w:rPr>
          <w:rFonts w:ascii="Arial" w:eastAsiaTheme="minorEastAsia" w:hAnsi="Arial" w:cs="Arial"/>
          <w:b/>
          <w:bCs/>
          <w:color w:val="000000" w:themeColor="text1"/>
          <w:sz w:val="22"/>
          <w:szCs w:val="22"/>
          <w:lang w:eastAsia="zh-CN"/>
        </w:rPr>
      </w:pPr>
      <w:r w:rsidRPr="007A4473">
        <w:rPr>
          <w:rFonts w:ascii="Arial" w:eastAsia="Arial" w:hAnsi="Arial" w:cs="Arial"/>
          <w:b/>
          <w:color w:val="000000" w:themeColor="text1"/>
          <w:sz w:val="23"/>
          <w:szCs w:val="23"/>
        </w:rPr>
        <w:t>La</w:t>
      </w:r>
      <w:r w:rsidR="00590163" w:rsidRPr="007A4473">
        <w:rPr>
          <w:rFonts w:ascii="Arial" w:eastAsia="Arial" w:hAnsi="Arial" w:cs="Arial"/>
          <w:b/>
          <w:color w:val="000000" w:themeColor="text1"/>
          <w:sz w:val="23"/>
          <w:szCs w:val="23"/>
        </w:rPr>
        <w:t xml:space="preserve"> zona </w:t>
      </w:r>
      <w:r w:rsidR="007A4473" w:rsidRPr="007A4473">
        <w:rPr>
          <w:rFonts w:ascii="Arial" w:eastAsia="Arial" w:hAnsi="Arial" w:cs="Arial"/>
          <w:b/>
          <w:color w:val="000000" w:themeColor="text1"/>
          <w:sz w:val="23"/>
          <w:szCs w:val="23"/>
        </w:rPr>
        <w:t>de Levante</w:t>
      </w:r>
      <w:r w:rsidR="00590163" w:rsidRPr="007A4473">
        <w:rPr>
          <w:rFonts w:ascii="Arial" w:eastAsia="Arial" w:hAnsi="Arial" w:cs="Arial"/>
          <w:b/>
          <w:color w:val="000000" w:themeColor="text1"/>
          <w:sz w:val="23"/>
          <w:szCs w:val="23"/>
        </w:rPr>
        <w:t xml:space="preserve"> es la más optimista del país con un 2</w:t>
      </w:r>
      <w:r w:rsidR="007A4473" w:rsidRPr="007A4473">
        <w:rPr>
          <w:rFonts w:ascii="Arial" w:eastAsia="Arial" w:hAnsi="Arial" w:cs="Arial"/>
          <w:b/>
          <w:color w:val="000000" w:themeColor="text1"/>
          <w:sz w:val="23"/>
          <w:szCs w:val="23"/>
        </w:rPr>
        <w:t>6</w:t>
      </w:r>
      <w:r w:rsidR="00590163" w:rsidRPr="007A4473">
        <w:rPr>
          <w:rFonts w:ascii="Arial" w:eastAsia="Arial" w:hAnsi="Arial" w:cs="Arial"/>
          <w:b/>
          <w:color w:val="000000" w:themeColor="text1"/>
          <w:sz w:val="23"/>
          <w:szCs w:val="23"/>
        </w:rPr>
        <w:t xml:space="preserve">% de expectativas de contratación, seguida por la zona </w:t>
      </w:r>
      <w:r w:rsidR="007A4473" w:rsidRPr="007A4473">
        <w:rPr>
          <w:rFonts w:ascii="Arial" w:eastAsia="Arial" w:hAnsi="Arial" w:cs="Arial"/>
          <w:b/>
          <w:color w:val="000000" w:themeColor="text1"/>
          <w:sz w:val="23"/>
          <w:szCs w:val="23"/>
        </w:rPr>
        <w:t>Norte</w:t>
      </w:r>
      <w:r w:rsidR="00590163" w:rsidRPr="007A4473">
        <w:rPr>
          <w:rFonts w:ascii="Arial" w:eastAsia="Arial" w:hAnsi="Arial" w:cs="Arial"/>
          <w:b/>
          <w:color w:val="000000" w:themeColor="text1"/>
          <w:sz w:val="23"/>
          <w:szCs w:val="23"/>
        </w:rPr>
        <w:t xml:space="preserve"> (</w:t>
      </w:r>
      <w:r w:rsidR="007A4473" w:rsidRPr="007A4473">
        <w:rPr>
          <w:rFonts w:ascii="Arial" w:eastAsia="Arial" w:hAnsi="Arial" w:cs="Arial"/>
          <w:b/>
          <w:color w:val="000000" w:themeColor="text1"/>
          <w:sz w:val="23"/>
          <w:szCs w:val="23"/>
        </w:rPr>
        <w:t>25</w:t>
      </w:r>
      <w:r w:rsidR="00590163" w:rsidRPr="007A4473">
        <w:rPr>
          <w:rFonts w:ascii="Arial" w:eastAsia="Arial" w:hAnsi="Arial" w:cs="Arial"/>
          <w:b/>
          <w:color w:val="000000" w:themeColor="text1"/>
          <w:sz w:val="23"/>
          <w:szCs w:val="23"/>
        </w:rPr>
        <w:t xml:space="preserve">%) y la zona </w:t>
      </w:r>
      <w:r w:rsidR="007A4473" w:rsidRPr="007A4473">
        <w:rPr>
          <w:rFonts w:ascii="Arial" w:eastAsia="Arial" w:hAnsi="Arial" w:cs="Arial"/>
          <w:b/>
          <w:color w:val="000000" w:themeColor="text1"/>
          <w:sz w:val="23"/>
          <w:szCs w:val="23"/>
        </w:rPr>
        <w:t>Noreste</w:t>
      </w:r>
      <w:r w:rsidR="00590163" w:rsidRPr="007A4473">
        <w:rPr>
          <w:rFonts w:ascii="Arial" w:eastAsia="Arial" w:hAnsi="Arial" w:cs="Arial"/>
          <w:b/>
          <w:color w:val="000000" w:themeColor="text1"/>
          <w:sz w:val="23"/>
          <w:szCs w:val="23"/>
        </w:rPr>
        <w:t xml:space="preserve"> (</w:t>
      </w:r>
      <w:r w:rsidR="007A4473" w:rsidRPr="007A4473">
        <w:rPr>
          <w:rFonts w:ascii="Arial" w:eastAsia="Arial" w:hAnsi="Arial" w:cs="Arial"/>
          <w:b/>
          <w:color w:val="000000" w:themeColor="text1"/>
          <w:sz w:val="23"/>
          <w:szCs w:val="23"/>
        </w:rPr>
        <w:t>24</w:t>
      </w:r>
      <w:r w:rsidR="00590163" w:rsidRPr="007A4473">
        <w:rPr>
          <w:rFonts w:ascii="Arial" w:eastAsia="Arial" w:hAnsi="Arial" w:cs="Arial"/>
          <w:b/>
          <w:color w:val="000000" w:themeColor="text1"/>
          <w:sz w:val="23"/>
          <w:szCs w:val="23"/>
        </w:rPr>
        <w:t>%)</w:t>
      </w:r>
    </w:p>
    <w:p w14:paraId="71FAA718" w14:textId="11B9DCC3" w:rsidR="00DB7261" w:rsidRPr="007A4473" w:rsidRDefault="00DB7261" w:rsidP="00DB7261">
      <w:pPr>
        <w:pStyle w:val="Prrafodelista"/>
        <w:numPr>
          <w:ilvl w:val="0"/>
          <w:numId w:val="1"/>
        </w:numPr>
        <w:spacing w:before="120" w:line="288" w:lineRule="auto"/>
        <w:ind w:left="360"/>
        <w:contextualSpacing w:val="0"/>
        <w:jc w:val="both"/>
        <w:rPr>
          <w:rFonts w:ascii="Arial" w:eastAsia="Arial" w:hAnsi="Arial" w:cs="Arial"/>
          <w:b/>
          <w:bCs/>
          <w:color w:val="000000" w:themeColor="text1"/>
          <w:sz w:val="23"/>
          <w:szCs w:val="23"/>
        </w:rPr>
      </w:pPr>
      <w:r w:rsidRPr="007A4473">
        <w:rPr>
          <w:rFonts w:ascii="Arial" w:eastAsia="Arial" w:hAnsi="Arial" w:cs="Arial"/>
          <w:b/>
          <w:color w:val="000000" w:themeColor="text1"/>
          <w:sz w:val="23"/>
          <w:szCs w:val="23"/>
        </w:rPr>
        <w:t xml:space="preserve">La zona </w:t>
      </w:r>
      <w:r w:rsidR="007A4473" w:rsidRPr="007A4473">
        <w:rPr>
          <w:rFonts w:ascii="Arial" w:eastAsia="Arial" w:hAnsi="Arial" w:cs="Arial"/>
          <w:b/>
          <w:color w:val="000000" w:themeColor="text1"/>
          <w:sz w:val="23"/>
          <w:szCs w:val="23"/>
        </w:rPr>
        <w:t xml:space="preserve">Sur </w:t>
      </w:r>
      <w:r w:rsidR="0027712D">
        <w:rPr>
          <w:rFonts w:ascii="Arial" w:eastAsia="Arial" w:hAnsi="Arial" w:cs="Arial"/>
          <w:b/>
          <w:color w:val="000000" w:themeColor="text1"/>
          <w:sz w:val="23"/>
          <w:szCs w:val="23"/>
        </w:rPr>
        <w:t xml:space="preserve">registra una </w:t>
      </w:r>
      <w:r w:rsidR="007A4473" w:rsidRPr="007A4473">
        <w:rPr>
          <w:rFonts w:ascii="Arial" w:eastAsia="Arial" w:hAnsi="Arial" w:cs="Arial"/>
          <w:b/>
          <w:color w:val="000000" w:themeColor="text1"/>
          <w:sz w:val="23"/>
          <w:szCs w:val="23"/>
        </w:rPr>
        <w:t>ca</w:t>
      </w:r>
      <w:r w:rsidR="0027712D">
        <w:rPr>
          <w:rFonts w:ascii="Arial" w:eastAsia="Arial" w:hAnsi="Arial" w:cs="Arial"/>
          <w:b/>
          <w:color w:val="000000" w:themeColor="text1"/>
          <w:sz w:val="23"/>
          <w:szCs w:val="23"/>
        </w:rPr>
        <w:t>ída significativa, situándose</w:t>
      </w:r>
      <w:r w:rsidR="007A4473" w:rsidRPr="007A4473">
        <w:rPr>
          <w:rFonts w:ascii="Arial" w:eastAsia="Arial" w:hAnsi="Arial" w:cs="Arial"/>
          <w:b/>
          <w:color w:val="000000" w:themeColor="text1"/>
          <w:sz w:val="23"/>
          <w:szCs w:val="23"/>
        </w:rPr>
        <w:t xml:space="preserve"> 9 puntos por debajo </w:t>
      </w:r>
      <w:r w:rsidR="0027712D">
        <w:rPr>
          <w:rFonts w:ascii="Arial" w:eastAsia="Arial" w:hAnsi="Arial" w:cs="Arial"/>
          <w:b/>
          <w:color w:val="000000" w:themeColor="text1"/>
          <w:sz w:val="23"/>
          <w:szCs w:val="23"/>
        </w:rPr>
        <w:t xml:space="preserve">en comparación </w:t>
      </w:r>
      <w:r w:rsidR="007A4473" w:rsidRPr="007A4473">
        <w:rPr>
          <w:rFonts w:ascii="Arial" w:eastAsia="Arial" w:hAnsi="Arial" w:cs="Arial"/>
          <w:b/>
          <w:color w:val="000000" w:themeColor="text1"/>
          <w:sz w:val="23"/>
          <w:szCs w:val="23"/>
        </w:rPr>
        <w:t xml:space="preserve">con </w:t>
      </w:r>
      <w:r w:rsidR="0027712D">
        <w:rPr>
          <w:rFonts w:ascii="Arial" w:eastAsia="Arial" w:hAnsi="Arial" w:cs="Arial"/>
          <w:b/>
          <w:color w:val="000000" w:themeColor="text1"/>
          <w:sz w:val="23"/>
          <w:szCs w:val="23"/>
        </w:rPr>
        <w:t xml:space="preserve">el </w:t>
      </w:r>
      <w:r w:rsidR="007A4473" w:rsidRPr="007A4473">
        <w:rPr>
          <w:rFonts w:ascii="Arial" w:eastAsia="Arial" w:hAnsi="Arial" w:cs="Arial"/>
          <w:b/>
          <w:color w:val="000000" w:themeColor="text1"/>
          <w:sz w:val="23"/>
          <w:szCs w:val="23"/>
        </w:rPr>
        <w:t>trimestre anterior</w:t>
      </w:r>
    </w:p>
    <w:p w14:paraId="59248BF5" w14:textId="77777777" w:rsidR="00BC6414" w:rsidRDefault="00BC6414" w:rsidP="006F14DB">
      <w:pPr>
        <w:spacing w:before="120" w:line="288" w:lineRule="auto"/>
        <w:jc w:val="both"/>
        <w:rPr>
          <w:rFonts w:ascii="Arial" w:eastAsiaTheme="minorEastAsia" w:hAnsi="Arial" w:cs="Arial"/>
          <w:b/>
          <w:bCs/>
          <w:sz w:val="22"/>
          <w:szCs w:val="22"/>
          <w:lang w:eastAsia="zh-CN"/>
        </w:rPr>
      </w:pPr>
    </w:p>
    <w:p w14:paraId="26E56288" w14:textId="77777777" w:rsidR="006F14DB" w:rsidRPr="00D7786F" w:rsidRDefault="006F14DB" w:rsidP="006F14DB">
      <w:pPr>
        <w:spacing w:before="120" w:line="288" w:lineRule="auto"/>
        <w:jc w:val="both"/>
        <w:rPr>
          <w:rFonts w:ascii="Arial" w:eastAsia="Arial" w:hAnsi="Arial" w:cs="Arial"/>
          <w:bCs/>
          <w:sz w:val="22"/>
          <w:szCs w:val="22"/>
        </w:rPr>
      </w:pPr>
      <w:r w:rsidRPr="00E60BC8">
        <w:rPr>
          <w:rFonts w:ascii="Arial" w:eastAsia="Arial" w:hAnsi="Arial" w:cs="Arial"/>
          <w:bCs/>
          <w:noProof/>
          <w:sz w:val="22"/>
          <w:szCs w:val="22"/>
        </w:rPr>
        <w:drawing>
          <wp:inline distT="0" distB="0" distL="0" distR="0" wp14:anchorId="65A0EC18" wp14:editId="698E318D">
            <wp:extent cx="5760085" cy="1838325"/>
            <wp:effectExtent l="0" t="0" r="0" b="9525"/>
            <wp:docPr id="1832541291"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41291" name="Imagen 1" descr="Interfaz de usuario gráfica, Aplicación&#10;&#10;El contenido generado por IA puede ser incorrecto."/>
                    <pic:cNvPicPr/>
                  </pic:nvPicPr>
                  <pic:blipFill>
                    <a:blip r:embed="rId11"/>
                    <a:stretch>
                      <a:fillRect/>
                    </a:stretch>
                  </pic:blipFill>
                  <pic:spPr>
                    <a:xfrm>
                      <a:off x="0" y="0"/>
                      <a:ext cx="5760085" cy="1838325"/>
                    </a:xfrm>
                    <a:prstGeom prst="rect">
                      <a:avLst/>
                    </a:prstGeom>
                  </pic:spPr>
                </pic:pic>
              </a:graphicData>
            </a:graphic>
          </wp:inline>
        </w:drawing>
      </w:r>
    </w:p>
    <w:p w14:paraId="4901D04D" w14:textId="77777777" w:rsidR="006F14DB" w:rsidRPr="00A160AA" w:rsidRDefault="006F14DB" w:rsidP="006F14DB">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regiones y evolución intertrimestral</w:t>
      </w:r>
    </w:p>
    <w:p w14:paraId="229F6E09" w14:textId="77777777" w:rsidR="006F14DB" w:rsidRPr="006F14DB" w:rsidRDefault="006F14DB" w:rsidP="006F14DB">
      <w:pPr>
        <w:spacing w:before="120" w:line="288" w:lineRule="auto"/>
        <w:jc w:val="both"/>
        <w:rPr>
          <w:rFonts w:ascii="Arial" w:eastAsiaTheme="minorEastAsia" w:hAnsi="Arial" w:cs="Arial"/>
          <w:b/>
          <w:bCs/>
          <w:sz w:val="22"/>
          <w:szCs w:val="22"/>
          <w:lang w:eastAsia="zh-CN"/>
        </w:rPr>
      </w:pPr>
    </w:p>
    <w:bookmarkEnd w:id="2"/>
    <w:p w14:paraId="2759B756" w14:textId="2FC846E9" w:rsidR="00BF3360" w:rsidRDefault="006B1E4E" w:rsidP="7347A71C">
      <w:pPr>
        <w:spacing w:before="120" w:line="288" w:lineRule="auto"/>
        <w:jc w:val="both"/>
        <w:rPr>
          <w:rFonts w:ascii="Arial" w:eastAsia="Arial" w:hAnsi="Arial" w:cs="Arial"/>
          <w:sz w:val="22"/>
          <w:szCs w:val="22"/>
        </w:rPr>
      </w:pPr>
      <w:r w:rsidRPr="3646F54C">
        <w:rPr>
          <w:rFonts w:ascii="Arial" w:eastAsia="Arial" w:hAnsi="Arial" w:cs="Arial"/>
          <w:b/>
          <w:bCs/>
          <w:sz w:val="22"/>
          <w:szCs w:val="22"/>
        </w:rPr>
        <w:t>Madrid</w:t>
      </w:r>
      <w:r w:rsidR="00DD4B97" w:rsidRPr="3646F54C">
        <w:rPr>
          <w:rFonts w:ascii="Arial" w:eastAsia="Arial" w:hAnsi="Arial" w:cs="Arial"/>
          <w:b/>
          <w:bCs/>
          <w:sz w:val="22"/>
          <w:szCs w:val="22"/>
        </w:rPr>
        <w:t xml:space="preserve">, </w:t>
      </w:r>
      <w:r w:rsidR="00D1554A" w:rsidRPr="3646F54C">
        <w:rPr>
          <w:rFonts w:ascii="Arial" w:eastAsia="Arial" w:hAnsi="Arial" w:cs="Arial"/>
          <w:b/>
          <w:bCs/>
          <w:sz w:val="22"/>
          <w:szCs w:val="22"/>
        </w:rPr>
        <w:t>1</w:t>
      </w:r>
      <w:r w:rsidR="00350918">
        <w:rPr>
          <w:rFonts w:ascii="Arial" w:eastAsia="Arial" w:hAnsi="Arial" w:cs="Arial"/>
          <w:b/>
          <w:bCs/>
          <w:sz w:val="22"/>
          <w:szCs w:val="22"/>
        </w:rPr>
        <w:t>6</w:t>
      </w:r>
      <w:r w:rsidRPr="3646F54C">
        <w:rPr>
          <w:rFonts w:ascii="Arial" w:eastAsia="Arial" w:hAnsi="Arial" w:cs="Arial"/>
          <w:b/>
          <w:bCs/>
          <w:sz w:val="22"/>
          <w:szCs w:val="22"/>
        </w:rPr>
        <w:t xml:space="preserve"> </w:t>
      </w:r>
      <w:r w:rsidR="00DD4B97" w:rsidRPr="3646F54C">
        <w:rPr>
          <w:rFonts w:ascii="Arial" w:eastAsia="Arial" w:hAnsi="Arial" w:cs="Arial"/>
          <w:b/>
          <w:bCs/>
          <w:sz w:val="22"/>
          <w:szCs w:val="22"/>
        </w:rPr>
        <w:t xml:space="preserve">de </w:t>
      </w:r>
      <w:r w:rsidR="00E7471D" w:rsidRPr="3646F54C">
        <w:rPr>
          <w:rFonts w:ascii="Arial" w:eastAsia="Arial" w:hAnsi="Arial" w:cs="Arial"/>
          <w:b/>
          <w:bCs/>
          <w:sz w:val="22"/>
          <w:szCs w:val="22"/>
        </w:rPr>
        <w:t>septiembre</w:t>
      </w:r>
      <w:r w:rsidR="002A35D9" w:rsidRPr="3646F54C">
        <w:rPr>
          <w:rFonts w:ascii="Arial" w:eastAsia="Arial" w:hAnsi="Arial" w:cs="Arial"/>
          <w:b/>
          <w:bCs/>
          <w:sz w:val="22"/>
          <w:szCs w:val="22"/>
        </w:rPr>
        <w:t xml:space="preserve"> </w:t>
      </w:r>
      <w:r w:rsidR="00DD4B97" w:rsidRPr="3646F54C">
        <w:rPr>
          <w:rFonts w:ascii="Arial" w:eastAsia="Arial" w:hAnsi="Arial" w:cs="Arial"/>
          <w:b/>
          <w:bCs/>
          <w:sz w:val="22"/>
          <w:szCs w:val="22"/>
        </w:rPr>
        <w:t>de 202</w:t>
      </w:r>
      <w:r w:rsidR="00EA4028" w:rsidRPr="3646F54C">
        <w:rPr>
          <w:rFonts w:ascii="Arial" w:eastAsia="Arial" w:hAnsi="Arial" w:cs="Arial"/>
          <w:b/>
          <w:bCs/>
          <w:sz w:val="22"/>
          <w:szCs w:val="22"/>
        </w:rPr>
        <w:t>5</w:t>
      </w:r>
      <w:r w:rsidR="00DD4B97" w:rsidRPr="3646F54C">
        <w:rPr>
          <w:rFonts w:ascii="Arial" w:eastAsia="Arial" w:hAnsi="Arial" w:cs="Arial"/>
          <w:b/>
          <w:bCs/>
          <w:sz w:val="22"/>
          <w:szCs w:val="22"/>
        </w:rPr>
        <w:t>.-</w:t>
      </w:r>
      <w:bookmarkStart w:id="3" w:name="_Hlk113557102"/>
      <w:bookmarkStart w:id="4" w:name="_Hlk90223537"/>
      <w:bookmarkStart w:id="5" w:name="_Hlk89449303"/>
      <w:bookmarkStart w:id="6" w:name="_Hlk89449332"/>
      <w:r w:rsidR="00DD4B97" w:rsidRPr="3646F54C">
        <w:rPr>
          <w:rFonts w:ascii="Arial" w:eastAsia="Arial" w:hAnsi="Arial" w:cs="Arial"/>
          <w:b/>
          <w:bCs/>
          <w:sz w:val="22"/>
          <w:szCs w:val="22"/>
        </w:rPr>
        <w:t xml:space="preserve"> </w:t>
      </w:r>
      <w:bookmarkStart w:id="7" w:name="_Hlk137140302"/>
      <w:r w:rsidR="00BF3360" w:rsidRPr="3646F54C">
        <w:rPr>
          <w:rFonts w:ascii="Arial" w:eastAsia="Arial" w:hAnsi="Arial" w:cs="Arial"/>
          <w:sz w:val="22"/>
          <w:szCs w:val="22"/>
        </w:rPr>
        <w:t xml:space="preserve">La </w:t>
      </w:r>
      <w:r w:rsidR="00BF3360" w:rsidRPr="3646F54C">
        <w:rPr>
          <w:rFonts w:ascii="Arial" w:eastAsia="Arial" w:hAnsi="Arial" w:cs="Arial"/>
          <w:b/>
          <w:bCs/>
          <w:sz w:val="22"/>
          <w:szCs w:val="22"/>
        </w:rPr>
        <w:t>Zona Noroeste</w:t>
      </w:r>
      <w:r w:rsidR="00BF3360" w:rsidRPr="3646F54C">
        <w:rPr>
          <w:rFonts w:ascii="Arial" w:eastAsia="Arial" w:hAnsi="Arial" w:cs="Arial"/>
          <w:sz w:val="22"/>
          <w:szCs w:val="22"/>
        </w:rPr>
        <w:t xml:space="preserve"> vuelve a situarse en la parte baja de la tabla</w:t>
      </w:r>
      <w:r w:rsidR="6A5957EC" w:rsidRPr="3646F54C">
        <w:rPr>
          <w:rFonts w:ascii="Arial" w:eastAsia="Arial" w:hAnsi="Arial" w:cs="Arial"/>
          <w:sz w:val="22"/>
          <w:szCs w:val="22"/>
        </w:rPr>
        <w:t xml:space="preserve"> en sus previsiones de creación de empleo</w:t>
      </w:r>
      <w:r w:rsidR="00BF3360" w:rsidRPr="3646F54C">
        <w:rPr>
          <w:rFonts w:ascii="Arial" w:eastAsia="Arial" w:hAnsi="Arial" w:cs="Arial"/>
          <w:sz w:val="22"/>
          <w:szCs w:val="22"/>
        </w:rPr>
        <w:t xml:space="preserve">, pero esta vez con un matiz </w:t>
      </w:r>
      <w:r w:rsidR="22DE3E49" w:rsidRPr="3646F54C">
        <w:rPr>
          <w:rFonts w:ascii="Arial" w:eastAsia="Arial" w:hAnsi="Arial" w:cs="Arial"/>
          <w:sz w:val="22"/>
          <w:szCs w:val="22"/>
        </w:rPr>
        <w:t>claramente optimista</w:t>
      </w:r>
      <w:r w:rsidR="00BF3360" w:rsidRPr="3646F54C">
        <w:rPr>
          <w:rFonts w:ascii="Arial" w:eastAsia="Arial" w:hAnsi="Arial" w:cs="Arial"/>
          <w:sz w:val="22"/>
          <w:szCs w:val="22"/>
        </w:rPr>
        <w:t xml:space="preserve"> ya que sus </w:t>
      </w:r>
      <w:r w:rsidR="5FC4F9ED" w:rsidRPr="3646F54C">
        <w:rPr>
          <w:rFonts w:ascii="Arial" w:eastAsia="Arial" w:hAnsi="Arial" w:cs="Arial"/>
          <w:sz w:val="22"/>
          <w:szCs w:val="22"/>
        </w:rPr>
        <w:t xml:space="preserve">expectativas </w:t>
      </w:r>
      <w:r w:rsidR="00BF3360" w:rsidRPr="3646F54C">
        <w:rPr>
          <w:rFonts w:ascii="Arial" w:eastAsia="Arial" w:hAnsi="Arial" w:cs="Arial"/>
          <w:sz w:val="22"/>
          <w:szCs w:val="22"/>
        </w:rPr>
        <w:t xml:space="preserve">alcanzan el </w:t>
      </w:r>
      <w:r w:rsidR="00BF3360" w:rsidRPr="3646F54C">
        <w:rPr>
          <w:rFonts w:ascii="Arial" w:eastAsia="Arial" w:hAnsi="Arial" w:cs="Arial"/>
          <w:b/>
          <w:bCs/>
          <w:sz w:val="22"/>
          <w:szCs w:val="22"/>
        </w:rPr>
        <w:t>14%</w:t>
      </w:r>
      <w:r w:rsidR="00BF3360" w:rsidRPr="3646F54C">
        <w:rPr>
          <w:rFonts w:ascii="Arial" w:eastAsia="Arial" w:hAnsi="Arial" w:cs="Arial"/>
          <w:sz w:val="22"/>
          <w:szCs w:val="22"/>
        </w:rPr>
        <w:t xml:space="preserve">, lo que supone una mejora de </w:t>
      </w:r>
      <w:r w:rsidR="00BF3360" w:rsidRPr="3646F54C">
        <w:rPr>
          <w:rFonts w:ascii="Arial" w:eastAsia="Arial" w:hAnsi="Arial" w:cs="Arial"/>
          <w:b/>
          <w:bCs/>
          <w:sz w:val="22"/>
          <w:szCs w:val="22"/>
        </w:rPr>
        <w:t>5 puntos porcentuales</w:t>
      </w:r>
      <w:r w:rsidR="00BF3360" w:rsidRPr="3646F54C">
        <w:rPr>
          <w:rFonts w:ascii="Arial" w:eastAsia="Arial" w:hAnsi="Arial" w:cs="Arial"/>
          <w:sz w:val="22"/>
          <w:szCs w:val="22"/>
        </w:rPr>
        <w:t xml:space="preserve"> respecto al trimestre anterior. Galicia, Asturias y Castilla y León avanzan, aunque aún lo hacen desde una posición modesta dentro del ranking nacional, según el </w:t>
      </w:r>
      <w:r w:rsidR="00BF3360" w:rsidRPr="3646F54C">
        <w:rPr>
          <w:rFonts w:ascii="Arial" w:eastAsia="Arial" w:hAnsi="Arial" w:cs="Arial"/>
          <w:b/>
          <w:bCs/>
          <w:sz w:val="22"/>
          <w:szCs w:val="22"/>
        </w:rPr>
        <w:t>Estudio de Proyección de Empleo de ManpowerGroup</w:t>
      </w:r>
      <w:r w:rsidR="00BF3360" w:rsidRPr="3646F54C">
        <w:rPr>
          <w:rFonts w:ascii="Arial" w:eastAsia="Arial" w:hAnsi="Arial" w:cs="Arial"/>
          <w:sz w:val="22"/>
          <w:szCs w:val="22"/>
        </w:rPr>
        <w:t>.</w:t>
      </w:r>
    </w:p>
    <w:p w14:paraId="365F5541" w14:textId="7A97CCBE" w:rsidR="00BF3360" w:rsidRPr="00E60BC8" w:rsidRDefault="00BF3360" w:rsidP="00E60BC8">
      <w:pPr>
        <w:spacing w:before="120" w:line="288" w:lineRule="auto"/>
        <w:jc w:val="both"/>
        <w:rPr>
          <w:rFonts w:ascii="Arial" w:eastAsia="Arial" w:hAnsi="Arial" w:cs="Arial"/>
          <w:bCs/>
          <w:sz w:val="22"/>
          <w:szCs w:val="22"/>
        </w:rPr>
      </w:pPr>
      <w:r w:rsidRPr="00BF3360">
        <w:rPr>
          <w:rFonts w:ascii="Arial" w:eastAsia="Arial" w:hAnsi="Arial" w:cs="Arial"/>
          <w:bCs/>
          <w:sz w:val="22"/>
          <w:szCs w:val="22"/>
        </w:rPr>
        <w:t>Este es el resultado de que el 3</w:t>
      </w:r>
      <w:r w:rsidR="0027712D">
        <w:rPr>
          <w:rFonts w:ascii="Arial" w:eastAsia="Arial" w:hAnsi="Arial" w:cs="Arial"/>
          <w:bCs/>
          <w:sz w:val="22"/>
          <w:szCs w:val="22"/>
        </w:rPr>
        <w:t>4</w:t>
      </w:r>
      <w:r w:rsidRPr="00BF3360">
        <w:rPr>
          <w:rFonts w:ascii="Arial" w:eastAsia="Arial" w:hAnsi="Arial" w:cs="Arial"/>
          <w:bCs/>
          <w:sz w:val="22"/>
          <w:szCs w:val="22"/>
        </w:rPr>
        <w:t xml:space="preserve">% de las compañías tengan la intención de ampliar sus plantillas, mientras que el </w:t>
      </w:r>
      <w:r w:rsidR="0027712D">
        <w:rPr>
          <w:rFonts w:ascii="Arial" w:eastAsia="Arial" w:hAnsi="Arial" w:cs="Arial"/>
          <w:bCs/>
          <w:sz w:val="22"/>
          <w:szCs w:val="22"/>
        </w:rPr>
        <w:t>44</w:t>
      </w:r>
      <w:r w:rsidRPr="00BF3360">
        <w:rPr>
          <w:rFonts w:ascii="Arial" w:eastAsia="Arial" w:hAnsi="Arial" w:cs="Arial"/>
          <w:bCs/>
          <w:sz w:val="22"/>
          <w:szCs w:val="22"/>
        </w:rPr>
        <w:t xml:space="preserve">% se plantee mantenerlas sin cambios y el </w:t>
      </w:r>
      <w:r w:rsidR="0027712D">
        <w:rPr>
          <w:rFonts w:ascii="Arial" w:eastAsia="Arial" w:hAnsi="Arial" w:cs="Arial"/>
          <w:bCs/>
          <w:sz w:val="22"/>
          <w:szCs w:val="22"/>
        </w:rPr>
        <w:t>2</w:t>
      </w:r>
      <w:r w:rsidRPr="00BF3360">
        <w:rPr>
          <w:rFonts w:ascii="Arial" w:eastAsia="Arial" w:hAnsi="Arial" w:cs="Arial"/>
          <w:bCs/>
          <w:sz w:val="22"/>
          <w:szCs w:val="22"/>
        </w:rPr>
        <w:t>1% estime que las reducirá.</w:t>
      </w:r>
    </w:p>
    <w:p w14:paraId="7F984724" w14:textId="2F372399" w:rsidR="00BF3360" w:rsidRPr="00BF3360" w:rsidRDefault="00BF3360" w:rsidP="7347A71C">
      <w:pPr>
        <w:spacing w:before="120" w:line="288" w:lineRule="auto"/>
        <w:jc w:val="both"/>
        <w:rPr>
          <w:rFonts w:ascii="Arial" w:eastAsia="Arial" w:hAnsi="Arial" w:cs="Arial"/>
          <w:sz w:val="22"/>
          <w:szCs w:val="22"/>
        </w:rPr>
      </w:pPr>
      <w:r w:rsidRPr="3646F54C">
        <w:rPr>
          <w:rFonts w:ascii="Arial" w:eastAsia="Arial" w:hAnsi="Arial" w:cs="Arial"/>
          <w:sz w:val="22"/>
          <w:szCs w:val="22"/>
        </w:rPr>
        <w:lastRenderedPageBreak/>
        <w:t>No se trata de un</w:t>
      </w:r>
      <w:r w:rsidR="7C2E428D" w:rsidRPr="3646F54C">
        <w:rPr>
          <w:rFonts w:ascii="Arial" w:eastAsia="Arial" w:hAnsi="Arial" w:cs="Arial"/>
          <w:sz w:val="22"/>
          <w:szCs w:val="22"/>
        </w:rPr>
        <w:t>a mejoría espectacular</w:t>
      </w:r>
      <w:r w:rsidRPr="3646F54C">
        <w:rPr>
          <w:rFonts w:ascii="Arial" w:eastAsia="Arial" w:hAnsi="Arial" w:cs="Arial"/>
          <w:sz w:val="22"/>
          <w:szCs w:val="22"/>
        </w:rPr>
        <w:t xml:space="preserve">, pero sí de un </w:t>
      </w:r>
      <w:r w:rsidRPr="3646F54C">
        <w:rPr>
          <w:rFonts w:ascii="Arial" w:eastAsia="Arial" w:hAnsi="Arial" w:cs="Arial"/>
          <w:b/>
          <w:bCs/>
          <w:sz w:val="22"/>
          <w:szCs w:val="22"/>
        </w:rPr>
        <w:t>cambio de tendencia</w:t>
      </w:r>
      <w:r w:rsidRPr="3646F54C">
        <w:rPr>
          <w:rFonts w:ascii="Arial" w:eastAsia="Arial" w:hAnsi="Arial" w:cs="Arial"/>
          <w:sz w:val="22"/>
          <w:szCs w:val="22"/>
        </w:rPr>
        <w:t xml:space="preserve"> que apunta a un mayor dinamismo en la región. Tras varios trimestres marcados por la cautela, el Noroeste empieza a recuperar terreno y da señales de que la confianza empresarial va abriéndose </w:t>
      </w:r>
      <w:r w:rsidR="306C9651" w:rsidRPr="3646F54C">
        <w:rPr>
          <w:rFonts w:ascii="Arial" w:eastAsia="Arial" w:hAnsi="Arial" w:cs="Arial"/>
          <w:sz w:val="22"/>
          <w:szCs w:val="22"/>
        </w:rPr>
        <w:t>camino</w:t>
      </w:r>
      <w:r w:rsidRPr="3646F54C">
        <w:rPr>
          <w:rFonts w:ascii="Arial" w:eastAsia="Arial" w:hAnsi="Arial" w:cs="Arial"/>
          <w:sz w:val="22"/>
          <w:szCs w:val="22"/>
        </w:rPr>
        <w:t>.</w:t>
      </w:r>
    </w:p>
    <w:p w14:paraId="0FEE3CF2" w14:textId="2C4EDCC2" w:rsidR="00BF3360" w:rsidRPr="00BF3360" w:rsidRDefault="00BF3360" w:rsidP="7347A71C">
      <w:pPr>
        <w:spacing w:before="120" w:line="288" w:lineRule="auto"/>
        <w:jc w:val="both"/>
        <w:rPr>
          <w:rFonts w:ascii="Arial" w:eastAsia="Arial" w:hAnsi="Arial" w:cs="Arial"/>
          <w:sz w:val="22"/>
          <w:szCs w:val="22"/>
        </w:rPr>
      </w:pPr>
      <w:r w:rsidRPr="7347A71C">
        <w:rPr>
          <w:rFonts w:ascii="Arial" w:eastAsia="Arial" w:hAnsi="Arial" w:cs="Arial"/>
          <w:sz w:val="22"/>
          <w:szCs w:val="22"/>
        </w:rPr>
        <w:t xml:space="preserve">El contraste es evidente con respecto a la </w:t>
      </w:r>
      <w:r w:rsidRPr="7347A71C">
        <w:rPr>
          <w:rFonts w:ascii="Arial" w:eastAsia="Arial" w:hAnsi="Arial" w:cs="Arial"/>
          <w:b/>
          <w:bCs/>
          <w:sz w:val="22"/>
          <w:szCs w:val="22"/>
        </w:rPr>
        <w:t>Zona Sur</w:t>
      </w:r>
      <w:r w:rsidRPr="7347A71C">
        <w:rPr>
          <w:rFonts w:ascii="Arial" w:eastAsia="Arial" w:hAnsi="Arial" w:cs="Arial"/>
          <w:sz w:val="22"/>
          <w:szCs w:val="22"/>
        </w:rPr>
        <w:t xml:space="preserve">, que se desploma hasta un </w:t>
      </w:r>
      <w:r w:rsidRPr="7347A71C">
        <w:rPr>
          <w:rFonts w:ascii="Arial" w:eastAsia="Arial" w:hAnsi="Arial" w:cs="Arial"/>
          <w:b/>
          <w:bCs/>
          <w:sz w:val="22"/>
          <w:szCs w:val="22"/>
        </w:rPr>
        <w:t>5%</w:t>
      </w:r>
      <w:r w:rsidRPr="7347A71C">
        <w:rPr>
          <w:rFonts w:ascii="Arial" w:eastAsia="Arial" w:hAnsi="Arial" w:cs="Arial"/>
          <w:sz w:val="22"/>
          <w:szCs w:val="22"/>
        </w:rPr>
        <w:t>, la peor cifra de todo el país. Frente a esa caída, el Noroeste demuestra que</w:t>
      </w:r>
      <w:r w:rsidR="75AD21AE" w:rsidRPr="7347A71C">
        <w:rPr>
          <w:rFonts w:ascii="Arial" w:eastAsia="Arial" w:hAnsi="Arial" w:cs="Arial"/>
          <w:sz w:val="22"/>
          <w:szCs w:val="22"/>
        </w:rPr>
        <w:t>,</w:t>
      </w:r>
      <w:r w:rsidRPr="7347A71C">
        <w:rPr>
          <w:rFonts w:ascii="Arial" w:eastAsia="Arial" w:hAnsi="Arial" w:cs="Arial"/>
          <w:sz w:val="22"/>
          <w:szCs w:val="22"/>
        </w:rPr>
        <w:t xml:space="preserve"> incluso desde posiciones bajas</w:t>
      </w:r>
      <w:r w:rsidR="7B1C8947" w:rsidRPr="7347A71C">
        <w:rPr>
          <w:rFonts w:ascii="Arial" w:eastAsia="Arial" w:hAnsi="Arial" w:cs="Arial"/>
          <w:sz w:val="22"/>
          <w:szCs w:val="22"/>
        </w:rPr>
        <w:t>,</w:t>
      </w:r>
      <w:r w:rsidRPr="7347A71C">
        <w:rPr>
          <w:rFonts w:ascii="Arial" w:eastAsia="Arial" w:hAnsi="Arial" w:cs="Arial"/>
          <w:sz w:val="22"/>
          <w:szCs w:val="22"/>
        </w:rPr>
        <w:t xml:space="preserve"> es posible crecer y corregir la trayectoria.</w:t>
      </w:r>
    </w:p>
    <w:p w14:paraId="41A4D5F9" w14:textId="77777777" w:rsidR="00BF3360" w:rsidRPr="00BF3360" w:rsidRDefault="00BF3360" w:rsidP="00BF3360">
      <w:pPr>
        <w:spacing w:before="120" w:line="288" w:lineRule="auto"/>
        <w:jc w:val="both"/>
        <w:rPr>
          <w:rFonts w:ascii="Arial" w:eastAsia="Arial" w:hAnsi="Arial" w:cs="Arial"/>
          <w:bCs/>
          <w:sz w:val="22"/>
          <w:szCs w:val="22"/>
        </w:rPr>
      </w:pPr>
      <w:r w:rsidRPr="7347A71C">
        <w:rPr>
          <w:rFonts w:ascii="Arial" w:eastAsia="Arial" w:hAnsi="Arial" w:cs="Arial"/>
          <w:sz w:val="22"/>
          <w:szCs w:val="22"/>
        </w:rPr>
        <w:t>En el otro extremo del mapa, las regiones más optimistas —</w:t>
      </w:r>
      <w:r w:rsidRPr="7347A71C">
        <w:rPr>
          <w:rFonts w:ascii="Arial" w:eastAsia="Arial" w:hAnsi="Arial" w:cs="Arial"/>
          <w:b/>
          <w:bCs/>
          <w:sz w:val="22"/>
          <w:szCs w:val="22"/>
        </w:rPr>
        <w:t>Levante (26%)</w:t>
      </w:r>
      <w:r w:rsidRPr="7347A71C">
        <w:rPr>
          <w:rFonts w:ascii="Arial" w:eastAsia="Arial" w:hAnsi="Arial" w:cs="Arial"/>
          <w:sz w:val="22"/>
          <w:szCs w:val="22"/>
        </w:rPr>
        <w:t xml:space="preserve">, </w:t>
      </w:r>
      <w:r w:rsidRPr="7347A71C">
        <w:rPr>
          <w:rFonts w:ascii="Arial" w:eastAsia="Arial" w:hAnsi="Arial" w:cs="Arial"/>
          <w:b/>
          <w:bCs/>
          <w:sz w:val="22"/>
          <w:szCs w:val="22"/>
        </w:rPr>
        <w:t>Norte (25%)</w:t>
      </w:r>
      <w:r w:rsidRPr="7347A71C">
        <w:rPr>
          <w:rFonts w:ascii="Arial" w:eastAsia="Arial" w:hAnsi="Arial" w:cs="Arial"/>
          <w:sz w:val="22"/>
          <w:szCs w:val="22"/>
        </w:rPr>
        <w:t xml:space="preserve"> y </w:t>
      </w:r>
      <w:r w:rsidRPr="7347A71C">
        <w:rPr>
          <w:rFonts w:ascii="Arial" w:eastAsia="Arial" w:hAnsi="Arial" w:cs="Arial"/>
          <w:b/>
          <w:bCs/>
          <w:sz w:val="22"/>
          <w:szCs w:val="22"/>
        </w:rPr>
        <w:t>Noreste (24%)</w:t>
      </w:r>
      <w:r w:rsidRPr="7347A71C">
        <w:rPr>
          <w:rFonts w:ascii="Arial" w:eastAsia="Arial" w:hAnsi="Arial" w:cs="Arial"/>
          <w:sz w:val="22"/>
          <w:szCs w:val="22"/>
        </w:rPr>
        <w:t>— marcan la pauta, consolidando un podio que aún queda lejos para el Noroeste. Sin embargo, los datos muestran que la región ha activado el movimiento y que su brecha con otras áreas menos optimistas, como el Centro (</w:t>
      </w:r>
      <w:r w:rsidRPr="7347A71C">
        <w:rPr>
          <w:rFonts w:ascii="Arial" w:eastAsia="Arial" w:hAnsi="Arial" w:cs="Arial"/>
          <w:b/>
          <w:bCs/>
          <w:sz w:val="22"/>
          <w:szCs w:val="22"/>
        </w:rPr>
        <w:t>13%</w:t>
      </w:r>
      <w:r w:rsidRPr="7347A71C">
        <w:rPr>
          <w:rFonts w:ascii="Arial" w:eastAsia="Arial" w:hAnsi="Arial" w:cs="Arial"/>
          <w:sz w:val="22"/>
          <w:szCs w:val="22"/>
        </w:rPr>
        <w:t>), empieza a estrecharse.</w:t>
      </w:r>
    </w:p>
    <w:bookmarkEnd w:id="0"/>
    <w:bookmarkEnd w:id="1"/>
    <w:bookmarkEnd w:id="3"/>
    <w:bookmarkEnd w:id="4"/>
    <w:bookmarkEnd w:id="5"/>
    <w:bookmarkEnd w:id="6"/>
    <w:bookmarkEnd w:id="7"/>
    <w:p w14:paraId="1FD48FD1" w14:textId="77777777" w:rsidR="00E60BC8" w:rsidRPr="00A91994" w:rsidRDefault="00E60BC8" w:rsidP="00230E56">
      <w:pPr>
        <w:spacing w:before="120" w:line="288" w:lineRule="auto"/>
        <w:jc w:val="both"/>
        <w:rPr>
          <w:rFonts w:ascii="Arial" w:eastAsia="Arial" w:hAnsi="Arial" w:cs="Arial"/>
          <w:bCs/>
          <w:sz w:val="22"/>
          <w:szCs w:val="22"/>
        </w:rPr>
      </w:pPr>
    </w:p>
    <w:p w14:paraId="17BB7301" w14:textId="77777777" w:rsidR="00E60BC8" w:rsidRPr="00E60BC8" w:rsidRDefault="00A91994" w:rsidP="00E60BC8">
      <w:pPr>
        <w:spacing w:before="120" w:line="288" w:lineRule="auto"/>
        <w:jc w:val="both"/>
        <w:rPr>
          <w:rFonts w:ascii="Arial" w:hAnsi="Arial" w:cs="Arial"/>
          <w:color w:val="808080" w:themeColor="background1" w:themeShade="80"/>
          <w:sz w:val="20"/>
          <w:szCs w:val="20"/>
        </w:rPr>
      </w:pPr>
      <w:r w:rsidRPr="00E1195B">
        <w:rPr>
          <w:rFonts w:ascii="Arial" w:hAnsi="Arial" w:cs="Arial"/>
          <w:b/>
          <w:bCs/>
          <w:color w:val="808080" w:themeColor="background1" w:themeShade="80"/>
          <w:sz w:val="20"/>
          <w:szCs w:val="20"/>
        </w:rPr>
        <w:t xml:space="preserve">Sobre el Estudio de Proyección de Empleo de ManpowerGroup: </w:t>
      </w:r>
      <w:r w:rsidR="00E60BC8" w:rsidRPr="00E60BC8">
        <w:rPr>
          <w:rFonts w:ascii="Arial" w:hAnsi="Arial" w:cs="Arial"/>
          <w:color w:val="808080" w:themeColor="background1" w:themeShade="80"/>
          <w:sz w:val="20"/>
          <w:szCs w:val="20"/>
        </w:rPr>
        <w:t xml:space="preserve">este estudio se basa en entrevistas realizadas a </w:t>
      </w:r>
      <w:r w:rsidR="00E60BC8" w:rsidRPr="00E60BC8">
        <w:rPr>
          <w:rFonts w:ascii="Arial" w:hAnsi="Arial" w:cs="Arial"/>
          <w:b/>
          <w:bCs/>
          <w:color w:val="808080" w:themeColor="background1" w:themeShade="80"/>
          <w:sz w:val="20"/>
          <w:szCs w:val="20"/>
        </w:rPr>
        <w:t>40.533 empresas de todo el mundo, </w:t>
      </w:r>
      <w:r w:rsidR="00E60BC8" w:rsidRPr="00E60BC8">
        <w:rPr>
          <w:rFonts w:ascii="Arial" w:hAnsi="Arial" w:cs="Arial"/>
          <w:color w:val="808080" w:themeColor="background1" w:themeShade="80"/>
          <w:sz w:val="20"/>
          <w:szCs w:val="20"/>
        </w:rPr>
        <w:t>tanto del sector público como del privado, de 42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0D37A1BE" w14:textId="713A0391" w:rsidR="00E60BC8" w:rsidRPr="00E60BC8" w:rsidRDefault="00E60BC8" w:rsidP="00E60BC8">
      <w:pPr>
        <w:spacing w:before="120" w:line="288" w:lineRule="auto"/>
        <w:jc w:val="both"/>
        <w:rPr>
          <w:rFonts w:ascii="Arial" w:hAnsi="Arial" w:cs="Arial"/>
          <w:color w:val="808080" w:themeColor="background1" w:themeShade="80"/>
          <w:sz w:val="20"/>
          <w:szCs w:val="20"/>
        </w:rPr>
      </w:pPr>
      <w:r w:rsidRPr="00E60BC8">
        <w:rPr>
          <w:rFonts w:ascii="Arial" w:hAnsi="Arial" w:cs="Arial"/>
          <w:color w:val="808080" w:themeColor="background1" w:themeShade="80"/>
          <w:sz w:val="20"/>
          <w:szCs w:val="20"/>
        </w:rPr>
        <w:t xml:space="preserve">El estudio obtiene su información a partir de una única pregunta: </w:t>
      </w:r>
      <w:r w:rsidRPr="00E60BC8">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octubre</w:t>
      </w:r>
      <w:r w:rsidRPr="00E60BC8">
        <w:rPr>
          <w:rFonts w:ascii="Arial" w:hAnsi="Arial" w:cs="Arial"/>
          <w:b/>
          <w:bCs/>
          <w:color w:val="808080" w:themeColor="background1" w:themeShade="80"/>
          <w:sz w:val="20"/>
          <w:szCs w:val="20"/>
        </w:rPr>
        <w:t xml:space="preserve"> a </w:t>
      </w:r>
      <w:r>
        <w:rPr>
          <w:rFonts w:ascii="Arial" w:hAnsi="Arial" w:cs="Arial"/>
          <w:b/>
          <w:bCs/>
          <w:color w:val="808080" w:themeColor="background1" w:themeShade="80"/>
          <w:sz w:val="20"/>
          <w:szCs w:val="20"/>
        </w:rPr>
        <w:t>diciembre</w:t>
      </w:r>
      <w:r w:rsidRPr="00E60BC8">
        <w:rPr>
          <w:rFonts w:ascii="Arial" w:hAnsi="Arial" w:cs="Arial"/>
          <w:b/>
          <w:bCs/>
          <w:color w:val="808080" w:themeColor="background1" w:themeShade="80"/>
          <w:sz w:val="20"/>
          <w:szCs w:val="20"/>
        </w:rPr>
        <w:t xml:space="preserve"> de 2025, en comparación con el trimestre actual?”</w:t>
      </w:r>
      <w:r w:rsidRPr="00E60BC8">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60BC8">
        <w:rPr>
          <w:rFonts w:ascii="Arial" w:hAnsi="Arial" w:cs="Arial"/>
          <w:b/>
          <w:bCs/>
          <w:color w:val="808080" w:themeColor="background1" w:themeShade="80"/>
          <w:sz w:val="20"/>
          <w:szCs w:val="20"/>
        </w:rPr>
        <w:t>se obtiene un índice cuyo resultado puede ir desde -100% a 100%</w:t>
      </w:r>
      <w:r w:rsidRPr="00E60BC8">
        <w:rPr>
          <w:rFonts w:ascii="Arial" w:hAnsi="Arial" w:cs="Arial"/>
          <w:color w:val="808080" w:themeColor="background1" w:themeShade="80"/>
          <w:sz w:val="20"/>
          <w:szCs w:val="20"/>
        </w:rPr>
        <w:t>.</w:t>
      </w:r>
    </w:p>
    <w:p w14:paraId="2A44A83A" w14:textId="77777777" w:rsidR="00E60BC8" w:rsidRPr="00E60BC8" w:rsidRDefault="00E60BC8" w:rsidP="00E60BC8">
      <w:pPr>
        <w:spacing w:before="120" w:line="288" w:lineRule="auto"/>
        <w:jc w:val="both"/>
        <w:rPr>
          <w:rFonts w:ascii="Arial" w:hAnsi="Arial" w:cs="Arial"/>
          <w:color w:val="808080" w:themeColor="background1" w:themeShade="80"/>
          <w:sz w:val="20"/>
          <w:szCs w:val="20"/>
        </w:rPr>
      </w:pPr>
      <w:r w:rsidRPr="00E60BC8">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D129FAD" w14:textId="26F6875F" w:rsidR="00A91994" w:rsidRDefault="00A91994" w:rsidP="00E60BC8">
      <w:pPr>
        <w:spacing w:before="120" w:line="288" w:lineRule="auto"/>
        <w:jc w:val="both"/>
        <w:rPr>
          <w:rFonts w:ascii="Arial" w:hAnsi="Arial" w:cs="Arial"/>
          <w:b/>
          <w:bCs/>
          <w:sz w:val="16"/>
          <w:szCs w:val="16"/>
        </w:rPr>
      </w:pPr>
    </w:p>
    <w:p w14:paraId="2E848DF5" w14:textId="77777777" w:rsidR="00A91994" w:rsidRDefault="00A91994" w:rsidP="00A91994">
      <w:pPr>
        <w:jc w:val="both"/>
        <w:rPr>
          <w:rFonts w:ascii="Arial" w:hAnsi="Arial" w:cs="Arial"/>
          <w:b/>
          <w:bCs/>
          <w:sz w:val="16"/>
          <w:szCs w:val="16"/>
        </w:rPr>
      </w:pPr>
    </w:p>
    <w:p w14:paraId="2E46CF3D" w14:textId="77777777" w:rsidR="00A91994" w:rsidRDefault="00A91994" w:rsidP="00A91994">
      <w:pPr>
        <w:jc w:val="both"/>
        <w:rPr>
          <w:rFonts w:ascii="Arial" w:hAnsi="Arial" w:cs="Arial"/>
          <w:b/>
          <w:bCs/>
          <w:sz w:val="16"/>
          <w:szCs w:val="16"/>
        </w:rPr>
      </w:pPr>
    </w:p>
    <w:p w14:paraId="6D892BD4" w14:textId="77777777" w:rsidR="00A91994" w:rsidRPr="00C11876" w:rsidRDefault="00A91994" w:rsidP="00A91994">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42634798"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75BE7B7D" w14:textId="77777777" w:rsidR="00A91994" w:rsidRPr="00C11876" w:rsidRDefault="00A91994" w:rsidP="00A91994">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12"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2794727B"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04F8AD22"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531699AA" w14:textId="77777777" w:rsidR="00A91994" w:rsidRDefault="00A91994" w:rsidP="00A91994">
      <w:pPr>
        <w:tabs>
          <w:tab w:val="right" w:pos="8838"/>
        </w:tabs>
        <w:autoSpaceDE w:val="0"/>
        <w:autoSpaceDN w:val="0"/>
        <w:adjustRightInd w:val="0"/>
        <w:jc w:val="both"/>
        <w:rPr>
          <w:rFonts w:ascii="Arial" w:hAnsi="Arial" w:cs="Arial"/>
          <w:sz w:val="16"/>
          <w:szCs w:val="16"/>
        </w:rPr>
      </w:pPr>
    </w:p>
    <w:p w14:paraId="2511DDF6" w14:textId="77777777" w:rsidR="00A91994" w:rsidRPr="00761D60" w:rsidRDefault="00A91994" w:rsidP="00A91994">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A91994" w:rsidRPr="008861A5" w14:paraId="463E5476" w14:textId="77777777" w:rsidTr="00F5173D">
        <w:trPr>
          <w:trHeight w:val="1159"/>
        </w:trPr>
        <w:tc>
          <w:tcPr>
            <w:tcW w:w="3686" w:type="dxa"/>
            <w:hideMark/>
          </w:tcPr>
          <w:p w14:paraId="397CD99E" w14:textId="77777777" w:rsidR="00A91994" w:rsidRPr="00761D60" w:rsidRDefault="00A91994"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B56588" w14:textId="2E72E42A" w:rsidR="00A91994" w:rsidRPr="00030508" w:rsidRDefault="00021503" w:rsidP="00F5173D">
            <w:pPr>
              <w:pStyle w:val="NormalWeb"/>
              <w:spacing w:before="0" w:beforeAutospacing="0" w:after="0" w:afterAutospacing="0"/>
              <w:rPr>
                <w:rFonts w:ascii="Arial" w:hAnsi="Arial" w:cs="Arial"/>
                <w:color w:val="000000"/>
                <w:sz w:val="16"/>
                <w:szCs w:val="16"/>
              </w:rPr>
            </w:pPr>
            <w:hyperlink r:id="rId13" w:history="1">
              <w:r w:rsidRPr="00DA1FC4">
                <w:rPr>
                  <w:rStyle w:val="Hipervnculo"/>
                  <w:rFonts w:ascii="Arial" w:hAnsi="Arial" w:cs="Arial"/>
                  <w:b/>
                  <w:bCs/>
                  <w:sz w:val="16"/>
                  <w:szCs w:val="16"/>
                </w:rPr>
                <w:t>comunicacion.manpowergroup@havas.com</w:t>
              </w:r>
            </w:hyperlink>
            <w:r w:rsidR="00A91994" w:rsidRPr="00030508">
              <w:rPr>
                <w:rFonts w:ascii="Arial" w:hAnsi="Arial" w:cs="Arial"/>
                <w:b/>
                <w:bCs/>
                <w:color w:val="000000"/>
                <w:sz w:val="16"/>
                <w:szCs w:val="16"/>
              </w:rPr>
              <w:t xml:space="preserve"> </w:t>
            </w:r>
          </w:p>
          <w:p w14:paraId="1B04D1CC" w14:textId="77777777" w:rsidR="00A91994" w:rsidRPr="00761D60" w:rsidRDefault="00A91994" w:rsidP="00F5173D">
            <w:pPr>
              <w:jc w:val="both"/>
              <w:outlineLvl w:val="0"/>
              <w:rPr>
                <w:rFonts w:ascii="Arial" w:hAnsi="Arial" w:cs="Arial"/>
                <w:b/>
                <w:sz w:val="16"/>
                <w:szCs w:val="16"/>
                <w:lang w:val="ca-ES"/>
              </w:rPr>
            </w:pPr>
          </w:p>
        </w:tc>
        <w:tc>
          <w:tcPr>
            <w:tcW w:w="2234" w:type="dxa"/>
          </w:tcPr>
          <w:p w14:paraId="22F14C36" w14:textId="77777777" w:rsidR="00A91994" w:rsidRPr="00761D60" w:rsidRDefault="00A91994" w:rsidP="00F5173D">
            <w:pPr>
              <w:jc w:val="both"/>
              <w:rPr>
                <w:rFonts w:ascii="Arial" w:hAnsi="Arial" w:cs="Arial"/>
                <w:sz w:val="16"/>
                <w:szCs w:val="16"/>
                <w:lang w:val="ca-ES"/>
              </w:rPr>
            </w:pPr>
          </w:p>
        </w:tc>
        <w:tc>
          <w:tcPr>
            <w:tcW w:w="3028" w:type="dxa"/>
          </w:tcPr>
          <w:p w14:paraId="1E0589F0" w14:textId="77777777" w:rsidR="00A91994" w:rsidRPr="00761D60" w:rsidRDefault="00A91994" w:rsidP="00F5173D">
            <w:pPr>
              <w:jc w:val="both"/>
              <w:outlineLvl w:val="0"/>
              <w:rPr>
                <w:rFonts w:ascii="Arial" w:hAnsi="Arial" w:cs="Arial"/>
                <w:b/>
                <w:sz w:val="16"/>
                <w:szCs w:val="16"/>
              </w:rPr>
            </w:pPr>
            <w:r w:rsidRPr="00761D60">
              <w:rPr>
                <w:rFonts w:ascii="Arial" w:hAnsi="Arial" w:cs="Arial"/>
                <w:b/>
                <w:sz w:val="16"/>
                <w:szCs w:val="16"/>
              </w:rPr>
              <w:t>ManpowerGroup</w:t>
            </w:r>
          </w:p>
          <w:p w14:paraId="55897941" w14:textId="77777777" w:rsidR="00A91994" w:rsidRPr="00761D60" w:rsidRDefault="00A91994" w:rsidP="00F5173D">
            <w:pPr>
              <w:jc w:val="both"/>
              <w:outlineLvl w:val="0"/>
              <w:rPr>
                <w:rFonts w:ascii="Arial" w:hAnsi="Arial" w:cs="Arial"/>
                <w:sz w:val="16"/>
                <w:szCs w:val="16"/>
              </w:rPr>
            </w:pPr>
            <w:r w:rsidRPr="00761D60">
              <w:rPr>
                <w:rFonts w:ascii="Arial" w:hAnsi="Arial" w:cs="Arial"/>
                <w:sz w:val="16"/>
                <w:szCs w:val="16"/>
              </w:rPr>
              <w:t>Dpto. Comunicación</w:t>
            </w:r>
          </w:p>
          <w:p w14:paraId="15FD8DE1"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 xml:space="preserve">Gala Díaz Curiel </w:t>
            </w:r>
          </w:p>
          <w:p w14:paraId="3B38AD5B" w14:textId="77777777" w:rsidR="00A91994" w:rsidRPr="000D00D5" w:rsidRDefault="00A91994" w:rsidP="00F5173D">
            <w:pPr>
              <w:jc w:val="both"/>
              <w:rPr>
                <w:rFonts w:ascii="Arial" w:hAnsi="Arial" w:cs="Arial"/>
                <w:sz w:val="16"/>
                <w:szCs w:val="16"/>
              </w:rPr>
            </w:pPr>
            <w:r w:rsidRPr="000D00D5">
              <w:rPr>
                <w:rFonts w:ascii="Arial" w:hAnsi="Arial" w:cs="Arial"/>
                <w:sz w:val="16"/>
                <w:szCs w:val="16"/>
              </w:rPr>
              <w:t>607 35 33 49</w:t>
            </w:r>
          </w:p>
          <w:p w14:paraId="085F53E1" w14:textId="77777777" w:rsidR="00A91994" w:rsidRPr="000D00D5" w:rsidRDefault="00A91994" w:rsidP="00F5173D">
            <w:pPr>
              <w:jc w:val="both"/>
              <w:rPr>
                <w:rFonts w:ascii="Arial" w:hAnsi="Arial" w:cs="Arial"/>
                <w:sz w:val="16"/>
                <w:szCs w:val="16"/>
                <w:u w:val="single"/>
              </w:rPr>
            </w:pPr>
            <w:hyperlink r:id="rId14" w:history="1">
              <w:r w:rsidRPr="000D00D5">
                <w:rPr>
                  <w:rStyle w:val="Hipervnculo"/>
                  <w:rFonts w:ascii="Arial" w:hAnsi="Arial" w:cs="Arial"/>
                  <w:sz w:val="16"/>
                  <w:szCs w:val="16"/>
                </w:rPr>
                <w:t>gala.diaz@manpowergroup.es</w:t>
              </w:r>
            </w:hyperlink>
          </w:p>
          <w:p w14:paraId="4C218DB8" w14:textId="77777777" w:rsidR="00A91994" w:rsidRDefault="00A91994" w:rsidP="00F5173D">
            <w:pPr>
              <w:jc w:val="both"/>
              <w:rPr>
                <w:rFonts w:ascii="Arial" w:hAnsi="Arial" w:cs="Arial"/>
                <w:sz w:val="16"/>
                <w:szCs w:val="16"/>
              </w:rPr>
            </w:pPr>
          </w:p>
          <w:p w14:paraId="3E46A16A" w14:textId="77777777" w:rsidR="00A91994" w:rsidRPr="00761D60" w:rsidRDefault="00A91994" w:rsidP="00F5173D">
            <w:pPr>
              <w:jc w:val="both"/>
              <w:rPr>
                <w:rFonts w:ascii="Arial" w:hAnsi="Arial" w:cs="Arial"/>
                <w:sz w:val="16"/>
                <w:szCs w:val="16"/>
              </w:rPr>
            </w:pPr>
            <w:r w:rsidRPr="00761D60">
              <w:rPr>
                <w:rFonts w:ascii="Arial" w:hAnsi="Arial" w:cs="Arial"/>
                <w:sz w:val="16"/>
                <w:szCs w:val="16"/>
              </w:rPr>
              <w:t>Juan Gómez Rodríguez</w:t>
            </w:r>
          </w:p>
          <w:p w14:paraId="36AB239E" w14:textId="77777777" w:rsidR="00A91994" w:rsidRPr="00F51FFC" w:rsidRDefault="00A91994" w:rsidP="00F5173D">
            <w:pPr>
              <w:jc w:val="both"/>
              <w:rPr>
                <w:rFonts w:ascii="Arial" w:hAnsi="Arial" w:cs="Arial"/>
                <w:sz w:val="16"/>
                <w:szCs w:val="16"/>
                <w:lang w:val="de-DE"/>
              </w:rPr>
            </w:pPr>
            <w:r w:rsidRPr="00F51FFC">
              <w:rPr>
                <w:rFonts w:ascii="Arial" w:hAnsi="Arial" w:cs="Arial"/>
                <w:sz w:val="16"/>
                <w:szCs w:val="16"/>
                <w:lang w:val="de-DE"/>
              </w:rPr>
              <w:t>Tel. 687 51 96 90</w:t>
            </w:r>
          </w:p>
          <w:p w14:paraId="5E824282" w14:textId="77777777" w:rsidR="00A91994" w:rsidRPr="00F51FFC" w:rsidRDefault="00A91994" w:rsidP="00F5173D">
            <w:pPr>
              <w:jc w:val="both"/>
              <w:rPr>
                <w:rFonts w:ascii="Arial" w:hAnsi="Arial" w:cs="Arial"/>
                <w:sz w:val="16"/>
                <w:szCs w:val="16"/>
                <w:lang w:val="de-DE"/>
              </w:rPr>
            </w:pPr>
            <w:hyperlink r:id="rId15" w:history="1">
              <w:r w:rsidRPr="00F51FFC">
                <w:rPr>
                  <w:rStyle w:val="Hipervnculo"/>
                  <w:rFonts w:ascii="Arial" w:hAnsi="Arial" w:cs="Arial"/>
                  <w:sz w:val="16"/>
                  <w:szCs w:val="16"/>
                  <w:lang w:val="de-DE"/>
                </w:rPr>
                <w:t>juan.gomez@manpowergroup.es</w:t>
              </w:r>
            </w:hyperlink>
          </w:p>
        </w:tc>
      </w:tr>
      <w:bookmarkEnd w:id="8"/>
    </w:tbl>
    <w:p w14:paraId="603B0789" w14:textId="77777777" w:rsidR="00A91994" w:rsidRPr="00F51FFC" w:rsidRDefault="00A91994" w:rsidP="00A91994">
      <w:pPr>
        <w:tabs>
          <w:tab w:val="right" w:pos="8838"/>
        </w:tabs>
        <w:autoSpaceDE w:val="0"/>
        <w:autoSpaceDN w:val="0"/>
        <w:adjustRightInd w:val="0"/>
        <w:jc w:val="both"/>
        <w:rPr>
          <w:rFonts w:ascii="Arial" w:hAnsi="Arial" w:cs="Arial"/>
          <w:b/>
          <w:bCs/>
          <w:sz w:val="16"/>
          <w:szCs w:val="16"/>
          <w:lang w:val="de-DE"/>
        </w:rPr>
      </w:pPr>
    </w:p>
    <w:p w14:paraId="503ECB3F" w14:textId="77777777" w:rsidR="00230E56" w:rsidRPr="009E4D15" w:rsidRDefault="00230E56" w:rsidP="00230E56">
      <w:pPr>
        <w:spacing w:before="120" w:line="288" w:lineRule="auto"/>
        <w:jc w:val="both"/>
        <w:rPr>
          <w:rFonts w:ascii="Arial" w:hAnsi="Arial" w:cs="Arial"/>
          <w:sz w:val="22"/>
          <w:szCs w:val="22"/>
        </w:rPr>
      </w:pPr>
    </w:p>
    <w:sectPr w:rsidR="00230E56" w:rsidRPr="009E4D15" w:rsidSect="00BB0D43">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503"/>
    <w:rsid w:val="00021D85"/>
    <w:rsid w:val="00024665"/>
    <w:rsid w:val="0002514B"/>
    <w:rsid w:val="000258CF"/>
    <w:rsid w:val="00027C5D"/>
    <w:rsid w:val="00031E9D"/>
    <w:rsid w:val="00042488"/>
    <w:rsid w:val="00054A2A"/>
    <w:rsid w:val="00057E37"/>
    <w:rsid w:val="000624D0"/>
    <w:rsid w:val="00063579"/>
    <w:rsid w:val="0006407D"/>
    <w:rsid w:val="00066C14"/>
    <w:rsid w:val="00077311"/>
    <w:rsid w:val="000869A2"/>
    <w:rsid w:val="000906C2"/>
    <w:rsid w:val="00095B8E"/>
    <w:rsid w:val="000A1973"/>
    <w:rsid w:val="000D0148"/>
    <w:rsid w:val="000D22C9"/>
    <w:rsid w:val="000D2B5A"/>
    <w:rsid w:val="000D6BCE"/>
    <w:rsid w:val="000E71B3"/>
    <w:rsid w:val="000F1600"/>
    <w:rsid w:val="00101502"/>
    <w:rsid w:val="0011037D"/>
    <w:rsid w:val="00115E82"/>
    <w:rsid w:val="00120F92"/>
    <w:rsid w:val="0012170F"/>
    <w:rsid w:val="00122E68"/>
    <w:rsid w:val="00123015"/>
    <w:rsid w:val="00124DEA"/>
    <w:rsid w:val="0012624A"/>
    <w:rsid w:val="001324E2"/>
    <w:rsid w:val="00132B7B"/>
    <w:rsid w:val="00133FA1"/>
    <w:rsid w:val="00134075"/>
    <w:rsid w:val="00137C4E"/>
    <w:rsid w:val="00142E26"/>
    <w:rsid w:val="00156816"/>
    <w:rsid w:val="00157558"/>
    <w:rsid w:val="00166189"/>
    <w:rsid w:val="0017076E"/>
    <w:rsid w:val="001741E5"/>
    <w:rsid w:val="00176074"/>
    <w:rsid w:val="00181155"/>
    <w:rsid w:val="00183B91"/>
    <w:rsid w:val="0018572B"/>
    <w:rsid w:val="00186814"/>
    <w:rsid w:val="001879E1"/>
    <w:rsid w:val="0019152E"/>
    <w:rsid w:val="00197210"/>
    <w:rsid w:val="001A2A76"/>
    <w:rsid w:val="001B13C9"/>
    <w:rsid w:val="001B18D2"/>
    <w:rsid w:val="001B2737"/>
    <w:rsid w:val="001B39AD"/>
    <w:rsid w:val="001D0197"/>
    <w:rsid w:val="002059D2"/>
    <w:rsid w:val="00212129"/>
    <w:rsid w:val="002246BA"/>
    <w:rsid w:val="00226CF7"/>
    <w:rsid w:val="00230E56"/>
    <w:rsid w:val="002331A8"/>
    <w:rsid w:val="00237511"/>
    <w:rsid w:val="0024317A"/>
    <w:rsid w:val="00275B27"/>
    <w:rsid w:val="0027712D"/>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1261F"/>
    <w:rsid w:val="0032424C"/>
    <w:rsid w:val="00326125"/>
    <w:rsid w:val="00332D02"/>
    <w:rsid w:val="00337FD2"/>
    <w:rsid w:val="00344595"/>
    <w:rsid w:val="0034621D"/>
    <w:rsid w:val="00346E05"/>
    <w:rsid w:val="003470C8"/>
    <w:rsid w:val="00350918"/>
    <w:rsid w:val="003509A5"/>
    <w:rsid w:val="0035236D"/>
    <w:rsid w:val="00356679"/>
    <w:rsid w:val="00357D6E"/>
    <w:rsid w:val="00363D6A"/>
    <w:rsid w:val="003805D3"/>
    <w:rsid w:val="0038103A"/>
    <w:rsid w:val="00381B00"/>
    <w:rsid w:val="00382B9C"/>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4035B"/>
    <w:rsid w:val="00441AA5"/>
    <w:rsid w:val="004510D0"/>
    <w:rsid w:val="004612C2"/>
    <w:rsid w:val="00466751"/>
    <w:rsid w:val="00472C55"/>
    <w:rsid w:val="00473109"/>
    <w:rsid w:val="00492F25"/>
    <w:rsid w:val="00494ED4"/>
    <w:rsid w:val="00497689"/>
    <w:rsid w:val="004B596E"/>
    <w:rsid w:val="004C0F40"/>
    <w:rsid w:val="004C2618"/>
    <w:rsid w:val="004C607E"/>
    <w:rsid w:val="004C7CAC"/>
    <w:rsid w:val="004D1FAF"/>
    <w:rsid w:val="004D2152"/>
    <w:rsid w:val="004D5AC5"/>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61B53"/>
    <w:rsid w:val="0057357A"/>
    <w:rsid w:val="00576DDF"/>
    <w:rsid w:val="00577B92"/>
    <w:rsid w:val="00583013"/>
    <w:rsid w:val="005838B1"/>
    <w:rsid w:val="00590163"/>
    <w:rsid w:val="005939CD"/>
    <w:rsid w:val="00596187"/>
    <w:rsid w:val="005A44F4"/>
    <w:rsid w:val="005A7DB1"/>
    <w:rsid w:val="005A7E9C"/>
    <w:rsid w:val="005C1E72"/>
    <w:rsid w:val="005C33ED"/>
    <w:rsid w:val="005C71CB"/>
    <w:rsid w:val="005D17CE"/>
    <w:rsid w:val="005D1AE9"/>
    <w:rsid w:val="005D3441"/>
    <w:rsid w:val="005D5DC2"/>
    <w:rsid w:val="005E4173"/>
    <w:rsid w:val="005E52B3"/>
    <w:rsid w:val="005F0582"/>
    <w:rsid w:val="005F1509"/>
    <w:rsid w:val="005F1CEB"/>
    <w:rsid w:val="00601B68"/>
    <w:rsid w:val="00623311"/>
    <w:rsid w:val="006269AA"/>
    <w:rsid w:val="00635FD7"/>
    <w:rsid w:val="00636A81"/>
    <w:rsid w:val="00642CB5"/>
    <w:rsid w:val="0064466A"/>
    <w:rsid w:val="006457DD"/>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343B"/>
    <w:rsid w:val="006B6CC7"/>
    <w:rsid w:val="006E5208"/>
    <w:rsid w:val="006E70FD"/>
    <w:rsid w:val="006F14DB"/>
    <w:rsid w:val="00720BA0"/>
    <w:rsid w:val="0072269E"/>
    <w:rsid w:val="0072504F"/>
    <w:rsid w:val="00731F03"/>
    <w:rsid w:val="00741C49"/>
    <w:rsid w:val="00743A94"/>
    <w:rsid w:val="007579C2"/>
    <w:rsid w:val="00790840"/>
    <w:rsid w:val="00795548"/>
    <w:rsid w:val="007A0082"/>
    <w:rsid w:val="007A2ED4"/>
    <w:rsid w:val="007A4473"/>
    <w:rsid w:val="007A74B1"/>
    <w:rsid w:val="007B189E"/>
    <w:rsid w:val="007B59D1"/>
    <w:rsid w:val="007B679F"/>
    <w:rsid w:val="007D0CFF"/>
    <w:rsid w:val="007E2DCC"/>
    <w:rsid w:val="007E5902"/>
    <w:rsid w:val="00800E31"/>
    <w:rsid w:val="00801C70"/>
    <w:rsid w:val="00802887"/>
    <w:rsid w:val="00815E9D"/>
    <w:rsid w:val="00816DBD"/>
    <w:rsid w:val="00825CE9"/>
    <w:rsid w:val="00836F8E"/>
    <w:rsid w:val="008405EA"/>
    <w:rsid w:val="00841381"/>
    <w:rsid w:val="008432EA"/>
    <w:rsid w:val="00853C2E"/>
    <w:rsid w:val="00857C81"/>
    <w:rsid w:val="00870654"/>
    <w:rsid w:val="008764B5"/>
    <w:rsid w:val="00882FCB"/>
    <w:rsid w:val="00885750"/>
    <w:rsid w:val="00886F0C"/>
    <w:rsid w:val="00890443"/>
    <w:rsid w:val="00891830"/>
    <w:rsid w:val="0089190E"/>
    <w:rsid w:val="008979FE"/>
    <w:rsid w:val="008A4224"/>
    <w:rsid w:val="008B058D"/>
    <w:rsid w:val="008B155B"/>
    <w:rsid w:val="008B3A52"/>
    <w:rsid w:val="008C0114"/>
    <w:rsid w:val="008C44D3"/>
    <w:rsid w:val="008C488A"/>
    <w:rsid w:val="008C5AB0"/>
    <w:rsid w:val="008E0924"/>
    <w:rsid w:val="008E54AD"/>
    <w:rsid w:val="008E730B"/>
    <w:rsid w:val="008F16C4"/>
    <w:rsid w:val="008F1BD7"/>
    <w:rsid w:val="00903495"/>
    <w:rsid w:val="00914020"/>
    <w:rsid w:val="0092370D"/>
    <w:rsid w:val="00924550"/>
    <w:rsid w:val="00927308"/>
    <w:rsid w:val="00931026"/>
    <w:rsid w:val="00932CB7"/>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9269A"/>
    <w:rsid w:val="009A0E87"/>
    <w:rsid w:val="009A1EB0"/>
    <w:rsid w:val="009A3526"/>
    <w:rsid w:val="009A6F8A"/>
    <w:rsid w:val="009B2C9F"/>
    <w:rsid w:val="009B5CB3"/>
    <w:rsid w:val="009C2675"/>
    <w:rsid w:val="009C5487"/>
    <w:rsid w:val="009D2EF1"/>
    <w:rsid w:val="009D3CF7"/>
    <w:rsid w:val="009E182B"/>
    <w:rsid w:val="009F01EA"/>
    <w:rsid w:val="009F301A"/>
    <w:rsid w:val="009F7DB9"/>
    <w:rsid w:val="009F7E1C"/>
    <w:rsid w:val="00A01277"/>
    <w:rsid w:val="00A02153"/>
    <w:rsid w:val="00A02C34"/>
    <w:rsid w:val="00A07523"/>
    <w:rsid w:val="00A14429"/>
    <w:rsid w:val="00A217C0"/>
    <w:rsid w:val="00A333EF"/>
    <w:rsid w:val="00A346D1"/>
    <w:rsid w:val="00A34A0D"/>
    <w:rsid w:val="00A370A6"/>
    <w:rsid w:val="00A41710"/>
    <w:rsid w:val="00A50B4D"/>
    <w:rsid w:val="00A52E71"/>
    <w:rsid w:val="00A53958"/>
    <w:rsid w:val="00A54B87"/>
    <w:rsid w:val="00A56426"/>
    <w:rsid w:val="00A574BF"/>
    <w:rsid w:val="00A7208B"/>
    <w:rsid w:val="00A75968"/>
    <w:rsid w:val="00A81170"/>
    <w:rsid w:val="00A84DE6"/>
    <w:rsid w:val="00A91994"/>
    <w:rsid w:val="00AB1882"/>
    <w:rsid w:val="00AB24A2"/>
    <w:rsid w:val="00AD5F13"/>
    <w:rsid w:val="00AE0726"/>
    <w:rsid w:val="00AE4F56"/>
    <w:rsid w:val="00AF11D7"/>
    <w:rsid w:val="00AF2C8A"/>
    <w:rsid w:val="00AF735D"/>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8069B"/>
    <w:rsid w:val="00B87F8E"/>
    <w:rsid w:val="00B963B2"/>
    <w:rsid w:val="00B963D0"/>
    <w:rsid w:val="00BB0D43"/>
    <w:rsid w:val="00BB1160"/>
    <w:rsid w:val="00BB39D9"/>
    <w:rsid w:val="00BB66B8"/>
    <w:rsid w:val="00BC45B7"/>
    <w:rsid w:val="00BC46BE"/>
    <w:rsid w:val="00BC6414"/>
    <w:rsid w:val="00BD1314"/>
    <w:rsid w:val="00BD2B48"/>
    <w:rsid w:val="00BD2DC5"/>
    <w:rsid w:val="00BD75BA"/>
    <w:rsid w:val="00BE1AB4"/>
    <w:rsid w:val="00BE22AA"/>
    <w:rsid w:val="00BF2547"/>
    <w:rsid w:val="00BF2A9C"/>
    <w:rsid w:val="00BF3360"/>
    <w:rsid w:val="00BF4727"/>
    <w:rsid w:val="00BF4F1C"/>
    <w:rsid w:val="00BF5E11"/>
    <w:rsid w:val="00BF63AA"/>
    <w:rsid w:val="00C02974"/>
    <w:rsid w:val="00C078EB"/>
    <w:rsid w:val="00C14976"/>
    <w:rsid w:val="00C32B70"/>
    <w:rsid w:val="00C45421"/>
    <w:rsid w:val="00C536C9"/>
    <w:rsid w:val="00C549B2"/>
    <w:rsid w:val="00C61314"/>
    <w:rsid w:val="00C7106A"/>
    <w:rsid w:val="00C7314E"/>
    <w:rsid w:val="00C73CB1"/>
    <w:rsid w:val="00C77E17"/>
    <w:rsid w:val="00C83097"/>
    <w:rsid w:val="00C908A5"/>
    <w:rsid w:val="00C91CCE"/>
    <w:rsid w:val="00C926CF"/>
    <w:rsid w:val="00C97060"/>
    <w:rsid w:val="00CA0905"/>
    <w:rsid w:val="00CA11A7"/>
    <w:rsid w:val="00CA50B7"/>
    <w:rsid w:val="00CB6B70"/>
    <w:rsid w:val="00CF74FF"/>
    <w:rsid w:val="00D02D48"/>
    <w:rsid w:val="00D05483"/>
    <w:rsid w:val="00D1186C"/>
    <w:rsid w:val="00D13374"/>
    <w:rsid w:val="00D1554A"/>
    <w:rsid w:val="00D206CE"/>
    <w:rsid w:val="00D27B5C"/>
    <w:rsid w:val="00D34192"/>
    <w:rsid w:val="00D3571D"/>
    <w:rsid w:val="00D51BD7"/>
    <w:rsid w:val="00D63AB2"/>
    <w:rsid w:val="00D64482"/>
    <w:rsid w:val="00D73001"/>
    <w:rsid w:val="00D7641E"/>
    <w:rsid w:val="00D7786F"/>
    <w:rsid w:val="00D77927"/>
    <w:rsid w:val="00D865AD"/>
    <w:rsid w:val="00D86A42"/>
    <w:rsid w:val="00D90EF8"/>
    <w:rsid w:val="00D92B75"/>
    <w:rsid w:val="00DA3C46"/>
    <w:rsid w:val="00DB0F1B"/>
    <w:rsid w:val="00DB2B86"/>
    <w:rsid w:val="00DB45BA"/>
    <w:rsid w:val="00DB5EEF"/>
    <w:rsid w:val="00DB7261"/>
    <w:rsid w:val="00DC304A"/>
    <w:rsid w:val="00DC6709"/>
    <w:rsid w:val="00DD0EF2"/>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567B2"/>
    <w:rsid w:val="00E60BC8"/>
    <w:rsid w:val="00E645BB"/>
    <w:rsid w:val="00E66280"/>
    <w:rsid w:val="00E675C5"/>
    <w:rsid w:val="00E7471D"/>
    <w:rsid w:val="00E82380"/>
    <w:rsid w:val="00E83434"/>
    <w:rsid w:val="00E845CF"/>
    <w:rsid w:val="00E91772"/>
    <w:rsid w:val="00E93393"/>
    <w:rsid w:val="00E97116"/>
    <w:rsid w:val="00EA4028"/>
    <w:rsid w:val="00EA7C7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 w:val="02B1CFD8"/>
    <w:rsid w:val="033FC33E"/>
    <w:rsid w:val="15F2289B"/>
    <w:rsid w:val="2006F1D7"/>
    <w:rsid w:val="204444CC"/>
    <w:rsid w:val="22BA2E15"/>
    <w:rsid w:val="22DE3E49"/>
    <w:rsid w:val="306C9651"/>
    <w:rsid w:val="3646F54C"/>
    <w:rsid w:val="37965CFD"/>
    <w:rsid w:val="3A21765D"/>
    <w:rsid w:val="3B3B3452"/>
    <w:rsid w:val="5A2A662E"/>
    <w:rsid w:val="5B858F06"/>
    <w:rsid w:val="5FC4F9ED"/>
    <w:rsid w:val="6121D299"/>
    <w:rsid w:val="6874344B"/>
    <w:rsid w:val="6A5957EC"/>
    <w:rsid w:val="7347A71C"/>
    <w:rsid w:val="75AD21AE"/>
    <w:rsid w:val="77FC674F"/>
    <w:rsid w:val="7B1C8947"/>
    <w:rsid w:val="7C2E428D"/>
    <w:rsid w:val="7D9400A7"/>
    <w:rsid w:val="7F8AC6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46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251859662">
      <w:bodyDiv w:val="1"/>
      <w:marLeft w:val="0"/>
      <w:marRight w:val="0"/>
      <w:marTop w:val="0"/>
      <w:marBottom w:val="0"/>
      <w:divBdr>
        <w:top w:val="none" w:sz="0" w:space="0" w:color="auto"/>
        <w:left w:val="none" w:sz="0" w:space="0" w:color="auto"/>
        <w:bottom w:val="none" w:sz="0" w:space="0" w:color="auto"/>
        <w:right w:val="none" w:sz="0" w:space="0" w:color="auto"/>
      </w:divBdr>
    </w:div>
    <w:div w:id="281347330">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399211053">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3330474">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479005361">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4738349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6455777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4338106">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79864974">
      <w:bodyDiv w:val="1"/>
      <w:marLeft w:val="0"/>
      <w:marRight w:val="0"/>
      <w:marTop w:val="0"/>
      <w:marBottom w:val="0"/>
      <w:divBdr>
        <w:top w:val="none" w:sz="0" w:space="0" w:color="auto"/>
        <w:left w:val="none" w:sz="0" w:space="0" w:color="auto"/>
        <w:bottom w:val="none" w:sz="0" w:space="0" w:color="auto"/>
        <w:right w:val="none" w:sz="0" w:space="0" w:color="auto"/>
      </w:divBdr>
    </w:div>
    <w:div w:id="1081096515">
      <w:bodyDiv w:val="1"/>
      <w:marLeft w:val="0"/>
      <w:marRight w:val="0"/>
      <w:marTop w:val="0"/>
      <w:marBottom w:val="0"/>
      <w:divBdr>
        <w:top w:val="none" w:sz="0" w:space="0" w:color="auto"/>
        <w:left w:val="none" w:sz="0" w:space="0" w:color="auto"/>
        <w:bottom w:val="none" w:sz="0" w:space="0" w:color="auto"/>
        <w:right w:val="none" w:sz="0" w:space="0" w:color="auto"/>
      </w:divBdr>
    </w:div>
    <w:div w:id="1121416352">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77785728">
      <w:bodyDiv w:val="1"/>
      <w:marLeft w:val="0"/>
      <w:marRight w:val="0"/>
      <w:marTop w:val="0"/>
      <w:marBottom w:val="0"/>
      <w:divBdr>
        <w:top w:val="none" w:sz="0" w:space="0" w:color="auto"/>
        <w:left w:val="none" w:sz="0" w:space="0" w:color="auto"/>
        <w:bottom w:val="none" w:sz="0" w:space="0" w:color="auto"/>
        <w:right w:val="none" w:sz="0" w:space="0" w:color="auto"/>
      </w:divBdr>
    </w:div>
    <w:div w:id="1288656493">
      <w:bodyDiv w:val="1"/>
      <w:marLeft w:val="0"/>
      <w:marRight w:val="0"/>
      <w:marTop w:val="0"/>
      <w:marBottom w:val="0"/>
      <w:divBdr>
        <w:top w:val="none" w:sz="0" w:space="0" w:color="auto"/>
        <w:left w:val="none" w:sz="0" w:space="0" w:color="auto"/>
        <w:bottom w:val="none" w:sz="0" w:space="0" w:color="auto"/>
        <w:right w:val="none" w:sz="0" w:space="0" w:color="auto"/>
      </w:divBdr>
    </w:div>
    <w:div w:id="129298043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52607969">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13640488">
      <w:bodyDiv w:val="1"/>
      <w:marLeft w:val="0"/>
      <w:marRight w:val="0"/>
      <w:marTop w:val="0"/>
      <w:marBottom w:val="0"/>
      <w:divBdr>
        <w:top w:val="none" w:sz="0" w:space="0" w:color="auto"/>
        <w:left w:val="none" w:sz="0" w:space="0" w:color="auto"/>
        <w:bottom w:val="none" w:sz="0" w:space="0" w:color="auto"/>
        <w:right w:val="none" w:sz="0" w:space="0" w:color="auto"/>
      </w:divBdr>
    </w:div>
    <w:div w:id="154232823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31128050">
      <w:bodyDiv w:val="1"/>
      <w:marLeft w:val="0"/>
      <w:marRight w:val="0"/>
      <w:marTop w:val="0"/>
      <w:marBottom w:val="0"/>
      <w:divBdr>
        <w:top w:val="none" w:sz="0" w:space="0" w:color="auto"/>
        <w:left w:val="none" w:sz="0" w:space="0" w:color="auto"/>
        <w:bottom w:val="none" w:sz="0" w:space="0" w:color="auto"/>
        <w:right w:val="none" w:sz="0" w:space="0" w:color="auto"/>
      </w:divBdr>
    </w:div>
    <w:div w:id="176098365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42495719">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0469685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unicacion.manpowergroup@hava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an.gomez@manpowergroup.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59D75210B3AB47BDB1DAE6E2AD3455" ma:contentTypeVersion="12" ma:contentTypeDescription="Create a new document." ma:contentTypeScope="" ma:versionID="3c5ecb720bd3b2e67957821af70dd0c1">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6c83798f831d0bdb8caa72353d7babc2"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customXml/itemProps2.xml><?xml version="1.0" encoding="utf-8"?>
<ds:datastoreItem xmlns:ds="http://schemas.openxmlformats.org/officeDocument/2006/customXml" ds:itemID="{16510BCA-7992-4E77-B5B2-884E98B6724C}">
  <ds:schemaRefs>
    <ds:schemaRef ds:uri="http://schemas.microsoft.com/office/2006/metadata/properties"/>
    <ds:schemaRef ds:uri="f17ce223-d96d-4429-9827-08a58a24d6e0"/>
    <ds:schemaRef ds:uri="df231d71-97c5-42ff-aba6-a7b30cc7d16d"/>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B289DE9-6FAE-4DBD-A8F5-57ECD063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DFD87-A039-4663-AA5C-C4DD8E659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4109</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Paula Castillo-ext</cp:lastModifiedBy>
  <cp:revision>3</cp:revision>
  <cp:lastPrinted>2022-12-19T17:21:00Z</cp:lastPrinted>
  <dcterms:created xsi:type="dcterms:W3CDTF">2025-09-16T08:34:00Z</dcterms:created>
  <dcterms:modified xsi:type="dcterms:W3CDTF">2025-09-16T09:06:00Z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