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28C8E" w14:textId="40F4F3AA" w:rsidR="00D076F3" w:rsidRDefault="001A2A76" w:rsidP="00AE5470">
      <w:pPr>
        <w:pBdr>
          <w:top w:val="nil"/>
          <w:left w:val="nil"/>
          <w:bottom w:val="nil"/>
          <w:right w:val="nil"/>
          <w:between w:val="nil"/>
        </w:pBdr>
        <w:spacing w:before="120" w:line="288" w:lineRule="auto"/>
        <w:jc w:val="center"/>
        <w:rPr>
          <w:rFonts w:ascii="Arial" w:eastAsia="Arial" w:hAnsi="Arial" w:cs="Arial"/>
          <w:b/>
          <w:color w:val="000000"/>
          <w:sz w:val="20"/>
          <w:szCs w:val="20"/>
          <w:u w:val="single"/>
        </w:rPr>
      </w:pPr>
      <w:r w:rsidRPr="00687087">
        <w:rPr>
          <w:rFonts w:ascii="Arial" w:eastAsia="Arial" w:hAnsi="Arial" w:cs="Arial"/>
          <w:b/>
          <w:color w:val="000000"/>
          <w:sz w:val="20"/>
          <w:szCs w:val="20"/>
          <w:u w:val="single"/>
        </w:rPr>
        <w:t xml:space="preserve">Estudio de Proyección de Empleo de </w:t>
      </w:r>
      <w:proofErr w:type="spellStart"/>
      <w:r w:rsidRPr="00687087">
        <w:rPr>
          <w:rFonts w:ascii="Arial" w:eastAsia="Arial" w:hAnsi="Arial" w:cs="Arial"/>
          <w:b/>
          <w:color w:val="000000"/>
          <w:sz w:val="20"/>
          <w:szCs w:val="20"/>
          <w:u w:val="single"/>
        </w:rPr>
        <w:t>ManpowerGroup</w:t>
      </w:r>
      <w:proofErr w:type="spellEnd"/>
      <w:r w:rsidRPr="00687087">
        <w:rPr>
          <w:rFonts w:ascii="Arial" w:eastAsia="Arial" w:hAnsi="Arial" w:cs="Arial"/>
          <w:b/>
          <w:color w:val="000000"/>
          <w:sz w:val="20"/>
          <w:szCs w:val="20"/>
          <w:u w:val="single"/>
        </w:rPr>
        <w:t xml:space="preserve"> para </w:t>
      </w:r>
      <w:r w:rsidR="00CA69E3">
        <w:rPr>
          <w:rFonts w:ascii="Arial" w:eastAsia="Arial" w:hAnsi="Arial" w:cs="Arial"/>
          <w:b/>
          <w:color w:val="000000"/>
          <w:sz w:val="20"/>
          <w:szCs w:val="20"/>
          <w:u w:val="single"/>
        </w:rPr>
        <w:t>octubre</w:t>
      </w:r>
      <w:r w:rsidR="009164C2">
        <w:rPr>
          <w:rFonts w:ascii="Arial" w:eastAsia="Arial" w:hAnsi="Arial" w:cs="Arial"/>
          <w:b/>
          <w:color w:val="000000"/>
          <w:sz w:val="20"/>
          <w:szCs w:val="20"/>
          <w:u w:val="single"/>
        </w:rPr>
        <w:t>-</w:t>
      </w:r>
      <w:r w:rsidR="00CA69E3">
        <w:rPr>
          <w:rFonts w:ascii="Arial" w:eastAsia="Arial" w:hAnsi="Arial" w:cs="Arial"/>
          <w:b/>
          <w:color w:val="000000"/>
          <w:sz w:val="20"/>
          <w:szCs w:val="20"/>
          <w:u w:val="single"/>
        </w:rPr>
        <w:t>diciembre</w:t>
      </w:r>
      <w:r w:rsidR="009164C2">
        <w:rPr>
          <w:rFonts w:ascii="Arial" w:eastAsia="Arial" w:hAnsi="Arial" w:cs="Arial"/>
          <w:b/>
          <w:color w:val="000000"/>
          <w:sz w:val="20"/>
          <w:szCs w:val="20"/>
          <w:u w:val="single"/>
        </w:rPr>
        <w:t xml:space="preserve"> </w:t>
      </w:r>
      <w:r w:rsidRPr="00687087">
        <w:rPr>
          <w:rFonts w:ascii="Arial" w:eastAsia="Arial" w:hAnsi="Arial" w:cs="Arial"/>
          <w:b/>
          <w:color w:val="000000"/>
          <w:sz w:val="20"/>
          <w:szCs w:val="20"/>
          <w:u w:val="single"/>
        </w:rPr>
        <w:t>202</w:t>
      </w:r>
      <w:r w:rsidR="009C6E19">
        <w:rPr>
          <w:rFonts w:ascii="Arial" w:eastAsia="Arial" w:hAnsi="Arial" w:cs="Arial"/>
          <w:b/>
          <w:color w:val="000000"/>
          <w:sz w:val="20"/>
          <w:szCs w:val="20"/>
          <w:u w:val="single"/>
        </w:rPr>
        <w:t>6</w:t>
      </w:r>
    </w:p>
    <w:p w14:paraId="517E526C" w14:textId="77777777" w:rsidR="00CD25A9" w:rsidRPr="00687087" w:rsidRDefault="00CD25A9" w:rsidP="00AE5470">
      <w:pPr>
        <w:pBdr>
          <w:top w:val="nil"/>
          <w:left w:val="nil"/>
          <w:bottom w:val="nil"/>
          <w:right w:val="nil"/>
          <w:between w:val="nil"/>
        </w:pBdr>
        <w:spacing w:before="120" w:line="288" w:lineRule="auto"/>
        <w:jc w:val="center"/>
        <w:rPr>
          <w:rFonts w:ascii="Arial" w:eastAsia="Arial" w:hAnsi="Arial" w:cs="Arial"/>
          <w:b/>
          <w:color w:val="000000"/>
          <w:sz w:val="20"/>
          <w:szCs w:val="20"/>
          <w:u w:val="single"/>
        </w:rPr>
      </w:pPr>
    </w:p>
    <w:p w14:paraId="604C6053" w14:textId="088CD691" w:rsidR="00CA69E3" w:rsidRDefault="00CA69E3" w:rsidP="00AE5470">
      <w:pPr>
        <w:spacing w:before="120" w:line="288" w:lineRule="auto"/>
        <w:jc w:val="center"/>
        <w:rPr>
          <w:rFonts w:ascii="Arial" w:eastAsia="Arial" w:hAnsi="Arial" w:cs="Arial"/>
          <w:b/>
          <w:sz w:val="23"/>
          <w:szCs w:val="23"/>
        </w:rPr>
      </w:pPr>
      <w:bookmarkStart w:id="0" w:name="_Hlk113557077"/>
      <w:bookmarkStart w:id="1" w:name="_Hlk90223537"/>
      <w:bookmarkStart w:id="2" w:name="_Hlk89449303"/>
      <w:bookmarkStart w:id="3" w:name="_Hlk89449332"/>
      <w:bookmarkStart w:id="4" w:name="_Hlk215568333"/>
      <w:r w:rsidRPr="00CA69E3">
        <w:rPr>
          <w:rFonts w:ascii="Arial" w:eastAsia="Arial" w:hAnsi="Arial" w:cs="Arial"/>
          <w:b/>
          <w:bCs/>
          <w:sz w:val="36"/>
          <w:szCs w:val="36"/>
        </w:rPr>
        <w:t xml:space="preserve">Construcción e Inmobiliario </w:t>
      </w:r>
      <w:r w:rsidR="00065781">
        <w:rPr>
          <w:rFonts w:ascii="Arial" w:eastAsia="Arial" w:hAnsi="Arial" w:cs="Arial"/>
          <w:b/>
          <w:bCs/>
          <w:sz w:val="36"/>
          <w:szCs w:val="36"/>
        </w:rPr>
        <w:t>impulsa la contratación y eleva sus previsiones al 24% para final de año</w:t>
      </w:r>
    </w:p>
    <w:p w14:paraId="73B4871F" w14:textId="77777777" w:rsidR="00CD25A9" w:rsidRPr="00CD25A9" w:rsidRDefault="00CD25A9" w:rsidP="00AE5470">
      <w:pPr>
        <w:spacing w:before="120" w:line="288" w:lineRule="auto"/>
        <w:rPr>
          <w:rFonts w:ascii="Arial" w:eastAsia="Times New Roman" w:hAnsi="Arial" w:cs="Arial"/>
          <w:sz w:val="23"/>
          <w:szCs w:val="23"/>
        </w:rPr>
      </w:pPr>
    </w:p>
    <w:p w14:paraId="7685F50D" w14:textId="768F54C9" w:rsidR="00065781" w:rsidRPr="00CD25A9" w:rsidRDefault="00065781" w:rsidP="00AE5470">
      <w:pPr>
        <w:pStyle w:val="Prrafodelista"/>
        <w:numPr>
          <w:ilvl w:val="0"/>
          <w:numId w:val="10"/>
        </w:numPr>
        <w:spacing w:before="120" w:line="288" w:lineRule="auto"/>
        <w:contextualSpacing w:val="0"/>
        <w:rPr>
          <w:rFonts w:ascii="Arial" w:eastAsia="Times New Roman" w:hAnsi="Arial" w:cs="Arial"/>
          <w:sz w:val="23"/>
          <w:szCs w:val="23"/>
        </w:rPr>
      </w:pPr>
      <w:r w:rsidRPr="00CD25A9">
        <w:rPr>
          <w:rFonts w:ascii="Arial" w:eastAsia="Times New Roman" w:hAnsi="Arial" w:cs="Arial"/>
          <w:b/>
          <w:bCs/>
          <w:sz w:val="23"/>
          <w:szCs w:val="23"/>
        </w:rPr>
        <w:t>El sector mejora sus expectativas de contratación en nueve puntos respecto al trimestre anterior y en diez frente al mismo periodo de 2025</w:t>
      </w:r>
    </w:p>
    <w:p w14:paraId="7CA61BAA" w14:textId="3552FB57" w:rsidR="00B72312" w:rsidRDefault="00065781" w:rsidP="00AE5470">
      <w:pPr>
        <w:pStyle w:val="Prrafodelista"/>
        <w:numPr>
          <w:ilvl w:val="0"/>
          <w:numId w:val="10"/>
        </w:numPr>
        <w:spacing w:before="120" w:line="288" w:lineRule="auto"/>
        <w:contextualSpacing w:val="0"/>
        <w:rPr>
          <w:rFonts w:ascii="Arial" w:eastAsia="Times New Roman" w:hAnsi="Arial" w:cs="Arial"/>
          <w:b/>
          <w:bCs/>
          <w:sz w:val="23"/>
          <w:szCs w:val="23"/>
        </w:rPr>
      </w:pPr>
      <w:r w:rsidRPr="00065781">
        <w:rPr>
          <w:rFonts w:ascii="Arial" w:eastAsia="Times New Roman" w:hAnsi="Arial" w:cs="Arial"/>
          <w:b/>
          <w:bCs/>
          <w:sz w:val="23"/>
          <w:szCs w:val="23"/>
        </w:rPr>
        <w:t>El 39% de las empresas prevé ampliar sus plantillas durante el cuarto trimestre, frente al 15% que anticipa reducciones</w:t>
      </w:r>
    </w:p>
    <w:p w14:paraId="2FA8085E" w14:textId="77777777" w:rsidR="00CD25A9" w:rsidRPr="00CD25A9" w:rsidRDefault="00CD25A9" w:rsidP="00AE5470">
      <w:pPr>
        <w:spacing w:before="120" w:line="288" w:lineRule="auto"/>
        <w:rPr>
          <w:rFonts w:ascii="Arial" w:eastAsia="Times New Roman" w:hAnsi="Arial" w:cs="Arial"/>
          <w:b/>
          <w:bCs/>
          <w:sz w:val="23"/>
          <w:szCs w:val="23"/>
        </w:rPr>
      </w:pPr>
    </w:p>
    <w:bookmarkEnd w:id="0"/>
    <w:p w14:paraId="7B2A5D87" w14:textId="722ADE80" w:rsidR="00E63624" w:rsidRPr="00E63624" w:rsidRDefault="00B72312" w:rsidP="00AE5470">
      <w:pPr>
        <w:spacing w:before="120" w:line="288" w:lineRule="auto"/>
        <w:jc w:val="both"/>
        <w:rPr>
          <w:rFonts w:ascii="Arial" w:eastAsia="Arial" w:hAnsi="Arial" w:cs="Arial"/>
          <w:bCs/>
          <w:sz w:val="20"/>
          <w:szCs w:val="20"/>
        </w:rPr>
      </w:pPr>
      <w:r w:rsidRPr="00171C34">
        <w:rPr>
          <w:rFonts w:ascii="Arial" w:eastAsia="Arial" w:hAnsi="Arial" w:cs="Arial"/>
          <w:b/>
          <w:sz w:val="20"/>
          <w:szCs w:val="20"/>
        </w:rPr>
        <w:t xml:space="preserve">Madrid, </w:t>
      </w:r>
      <w:r w:rsidR="007A798D">
        <w:rPr>
          <w:rFonts w:ascii="Arial" w:eastAsia="Arial" w:hAnsi="Arial" w:cs="Arial"/>
          <w:b/>
          <w:bCs/>
          <w:sz w:val="20"/>
          <w:szCs w:val="20"/>
        </w:rPr>
        <w:t>15</w:t>
      </w:r>
      <w:r w:rsidRPr="00171C34">
        <w:rPr>
          <w:rFonts w:ascii="Arial" w:eastAsia="Arial" w:hAnsi="Arial" w:cs="Arial"/>
          <w:b/>
          <w:sz w:val="20"/>
          <w:szCs w:val="20"/>
        </w:rPr>
        <w:t xml:space="preserve"> de </w:t>
      </w:r>
      <w:r w:rsidR="00CA69E3">
        <w:rPr>
          <w:rFonts w:ascii="Arial" w:eastAsia="Arial" w:hAnsi="Arial" w:cs="Arial"/>
          <w:b/>
          <w:sz w:val="20"/>
          <w:szCs w:val="20"/>
        </w:rPr>
        <w:t>septiembre</w:t>
      </w:r>
      <w:r w:rsidRPr="00171C34">
        <w:rPr>
          <w:rFonts w:ascii="Arial" w:eastAsia="Arial" w:hAnsi="Arial" w:cs="Arial"/>
          <w:b/>
          <w:sz w:val="20"/>
          <w:szCs w:val="20"/>
        </w:rPr>
        <w:t xml:space="preserve"> de 2026.-</w:t>
      </w:r>
      <w:bookmarkStart w:id="5" w:name="_Hlk113557102"/>
      <w:r w:rsidRPr="00171C34">
        <w:rPr>
          <w:rFonts w:ascii="Arial" w:eastAsia="Arial" w:hAnsi="Arial" w:cs="Arial"/>
          <w:b/>
          <w:sz w:val="20"/>
          <w:szCs w:val="20"/>
        </w:rPr>
        <w:t xml:space="preserve"> </w:t>
      </w:r>
      <w:bookmarkStart w:id="6" w:name="_Hlk137140302"/>
      <w:r w:rsidR="00065781" w:rsidRPr="00065781">
        <w:rPr>
          <w:rFonts w:ascii="Arial" w:eastAsia="Arial" w:hAnsi="Arial" w:cs="Arial"/>
          <w:bCs/>
          <w:sz w:val="20"/>
          <w:szCs w:val="20"/>
        </w:rPr>
        <w:t xml:space="preserve">Construcción e Inmobiliario encara la recta final de 2026 con un notable impulso en sus previsiones de contratación. Según el </w:t>
      </w:r>
      <w:r w:rsidR="00065781" w:rsidRPr="00065781">
        <w:rPr>
          <w:rFonts w:ascii="Arial" w:eastAsia="Arial" w:hAnsi="Arial" w:cs="Arial"/>
          <w:b/>
          <w:sz w:val="20"/>
          <w:szCs w:val="20"/>
        </w:rPr>
        <w:t xml:space="preserve">Estudio de Proyección de Empleo de </w:t>
      </w:r>
      <w:proofErr w:type="spellStart"/>
      <w:r w:rsidR="00065781" w:rsidRPr="00065781">
        <w:rPr>
          <w:rFonts w:ascii="Arial" w:eastAsia="Arial" w:hAnsi="Arial" w:cs="Arial"/>
          <w:b/>
          <w:sz w:val="20"/>
          <w:szCs w:val="20"/>
        </w:rPr>
        <w:t>ManpowerGroup</w:t>
      </w:r>
      <w:proofErr w:type="spellEnd"/>
      <w:r w:rsidR="00065781" w:rsidRPr="00065781">
        <w:rPr>
          <w:rFonts w:ascii="Arial" w:eastAsia="Arial" w:hAnsi="Arial" w:cs="Arial"/>
          <w:bCs/>
          <w:sz w:val="20"/>
          <w:szCs w:val="20"/>
        </w:rPr>
        <w:t xml:space="preserve">, la expectativa neta de empleo alcanza el 24%, nueve puntos por encima de la registrada </w:t>
      </w:r>
      <w:r w:rsidR="00CC4055">
        <w:rPr>
          <w:rFonts w:ascii="Arial" w:eastAsia="Arial" w:hAnsi="Arial" w:cs="Arial"/>
          <w:bCs/>
          <w:sz w:val="20"/>
          <w:szCs w:val="20"/>
        </w:rPr>
        <w:t>entre julio y septiembre</w:t>
      </w:r>
      <w:r w:rsidR="00065781" w:rsidRPr="00065781">
        <w:rPr>
          <w:rFonts w:ascii="Arial" w:eastAsia="Arial" w:hAnsi="Arial" w:cs="Arial"/>
          <w:bCs/>
          <w:sz w:val="20"/>
          <w:szCs w:val="20"/>
        </w:rPr>
        <w:t xml:space="preserve"> y diez más que hace un año.</w:t>
      </w:r>
    </w:p>
    <w:p w14:paraId="2BA40DA1" w14:textId="3CA09059" w:rsidR="00065781" w:rsidRPr="00065781" w:rsidRDefault="00065781" w:rsidP="00AE5470">
      <w:pPr>
        <w:spacing w:before="120" w:line="288" w:lineRule="auto"/>
        <w:jc w:val="both"/>
        <w:rPr>
          <w:rFonts w:ascii="Arial" w:eastAsia="Arial" w:hAnsi="Arial" w:cs="Arial"/>
          <w:bCs/>
          <w:sz w:val="20"/>
          <w:szCs w:val="20"/>
        </w:rPr>
      </w:pPr>
      <w:r w:rsidRPr="00065781">
        <w:rPr>
          <w:rFonts w:ascii="Arial" w:eastAsia="Arial" w:hAnsi="Arial" w:cs="Arial"/>
          <w:bCs/>
          <w:sz w:val="20"/>
          <w:szCs w:val="20"/>
        </w:rPr>
        <w:t xml:space="preserve">En detalle, el 39% de las empresas del sector prevé ampliar sus plantillas durante los próximos meses, frente a un 15% que contempla reducirlas. </w:t>
      </w:r>
      <w:r w:rsidRPr="00065781">
        <w:rPr>
          <w:rFonts w:ascii="Arial" w:eastAsia="Arial" w:hAnsi="Arial" w:cs="Arial"/>
          <w:b/>
          <w:bCs/>
          <w:sz w:val="20"/>
          <w:szCs w:val="20"/>
        </w:rPr>
        <w:t>Por su parte, un 44% espera mantener sin cambios su estructura actual</w:t>
      </w:r>
      <w:r w:rsidRPr="00065781">
        <w:rPr>
          <w:rFonts w:ascii="Arial" w:eastAsia="Arial" w:hAnsi="Arial" w:cs="Arial"/>
          <w:bCs/>
          <w:sz w:val="20"/>
          <w:szCs w:val="20"/>
        </w:rPr>
        <w:t>.</w:t>
      </w:r>
    </w:p>
    <w:p w14:paraId="2D57471F" w14:textId="77777777" w:rsidR="00181BBB" w:rsidRPr="00181BBB" w:rsidRDefault="00181BBB" w:rsidP="00AE5470">
      <w:pPr>
        <w:spacing w:before="120" w:line="288" w:lineRule="auto"/>
        <w:jc w:val="both"/>
        <w:rPr>
          <w:rFonts w:ascii="Arial" w:eastAsia="Arial" w:hAnsi="Arial" w:cs="Arial"/>
          <w:bCs/>
          <w:sz w:val="20"/>
          <w:szCs w:val="20"/>
        </w:rPr>
      </w:pPr>
      <w:r w:rsidRPr="00181BBB">
        <w:rPr>
          <w:rFonts w:ascii="Arial" w:eastAsia="Arial" w:hAnsi="Arial" w:cs="Arial"/>
          <w:bCs/>
          <w:sz w:val="20"/>
          <w:szCs w:val="20"/>
        </w:rPr>
        <w:t>Además, la previsión de Construcción e Inmobiliario supera en seis puntos la media nacional (18%), lo que refuerza la sólida evolución de las expectativas de contratación en el sector.</w:t>
      </w:r>
    </w:p>
    <w:bookmarkEnd w:id="5"/>
    <w:bookmarkEnd w:id="6"/>
    <w:p w14:paraId="15DD85F3" w14:textId="4481C214" w:rsidR="00E63624" w:rsidRPr="003745AA" w:rsidRDefault="003745AA" w:rsidP="00AE5470">
      <w:pPr>
        <w:spacing w:before="120" w:line="288" w:lineRule="auto"/>
        <w:jc w:val="both"/>
        <w:rPr>
          <w:rFonts w:ascii="Arial" w:eastAsia="Arial" w:hAnsi="Arial" w:cs="Arial"/>
          <w:bCs/>
          <w:sz w:val="20"/>
          <w:szCs w:val="20"/>
        </w:rPr>
      </w:pPr>
      <w:r w:rsidRPr="003745AA">
        <w:rPr>
          <w:rFonts w:ascii="Arial" w:eastAsia="Arial" w:hAnsi="Arial" w:cs="Arial"/>
          <w:bCs/>
          <w:i/>
          <w:iCs/>
          <w:sz w:val="20"/>
          <w:szCs w:val="20"/>
        </w:rPr>
        <w:t>"La mejora de las previsiones de contratación refleja el buen momento que atraviesa Construcción e Inmobiliario de cara al cierre del año. Las empresas del sector siguen mostrando una clara disposición a reforzar sus equipos para responder a la actividad prevista, en un contexto en el que la disponibilidad de talento seguirá siendo clave para impulsar nuevos proyectos"</w:t>
      </w:r>
      <w:r w:rsidR="00181BBB">
        <w:rPr>
          <w:rFonts w:ascii="Arial" w:eastAsia="Arial" w:hAnsi="Arial" w:cs="Arial"/>
          <w:bCs/>
          <w:i/>
          <w:iCs/>
          <w:sz w:val="20"/>
          <w:szCs w:val="20"/>
        </w:rPr>
        <w:t xml:space="preserve">, </w:t>
      </w:r>
      <w:r w:rsidR="00AE5470" w:rsidRPr="00AF0F29">
        <w:rPr>
          <w:rFonts w:ascii="Arial" w:eastAsia="Arial" w:hAnsi="Arial" w:cs="Arial"/>
          <w:bCs/>
          <w:sz w:val="20"/>
          <w:szCs w:val="20"/>
        </w:rPr>
        <w:t xml:space="preserve">analiza </w:t>
      </w:r>
      <w:r w:rsidR="0029204E" w:rsidRPr="00397CB7">
        <w:rPr>
          <w:rFonts w:ascii="Arial" w:eastAsia="Arial" w:hAnsi="Arial" w:cs="Arial"/>
          <w:b/>
          <w:bCs/>
          <w:sz w:val="20"/>
          <w:szCs w:val="20"/>
        </w:rPr>
        <w:t xml:space="preserve">Chema Fernández, director comercial de </w:t>
      </w:r>
      <w:proofErr w:type="spellStart"/>
      <w:r w:rsidR="0029204E" w:rsidRPr="00397CB7">
        <w:rPr>
          <w:rFonts w:ascii="Arial" w:eastAsia="Arial" w:hAnsi="Arial" w:cs="Arial"/>
          <w:b/>
          <w:bCs/>
          <w:sz w:val="20"/>
          <w:szCs w:val="20"/>
        </w:rPr>
        <w:t>ManpowerGroup</w:t>
      </w:r>
      <w:proofErr w:type="spellEnd"/>
      <w:r w:rsidR="00181BBB" w:rsidRPr="00AF0F29">
        <w:rPr>
          <w:rFonts w:ascii="Arial" w:eastAsia="Arial" w:hAnsi="Arial" w:cs="Arial"/>
          <w:bCs/>
          <w:sz w:val="20"/>
          <w:szCs w:val="20"/>
        </w:rPr>
        <w:t>.</w:t>
      </w:r>
    </w:p>
    <w:p w14:paraId="388B17BC" w14:textId="77777777" w:rsidR="00CC4055" w:rsidRDefault="00CC4055" w:rsidP="00AE5470">
      <w:pPr>
        <w:spacing w:before="120" w:line="288" w:lineRule="auto"/>
        <w:jc w:val="both"/>
        <w:rPr>
          <w:rFonts w:ascii="Arial" w:eastAsia="Arial" w:hAnsi="Arial" w:cs="Arial"/>
          <w:bCs/>
          <w:sz w:val="20"/>
          <w:szCs w:val="20"/>
        </w:rPr>
      </w:pPr>
    </w:p>
    <w:p w14:paraId="337ABFC4" w14:textId="77777777" w:rsidR="00181BBB" w:rsidRPr="00181BBB" w:rsidRDefault="00181BBB" w:rsidP="00AE5470">
      <w:pPr>
        <w:spacing w:before="120" w:line="288" w:lineRule="auto"/>
        <w:jc w:val="both"/>
        <w:rPr>
          <w:rFonts w:ascii="Arial" w:hAnsi="Arial" w:cs="Arial"/>
          <w:b/>
          <w:bCs/>
          <w:sz w:val="20"/>
          <w:szCs w:val="20"/>
        </w:rPr>
      </w:pPr>
      <w:r w:rsidRPr="00181BBB">
        <w:rPr>
          <w:rFonts w:ascii="Arial" w:hAnsi="Arial" w:cs="Arial"/>
          <w:b/>
          <w:bCs/>
          <w:sz w:val="20"/>
          <w:szCs w:val="20"/>
        </w:rPr>
        <w:t>Solo Hostelería y Tecnología superan las previsiones de Construcción e Inmobiliario</w:t>
      </w:r>
    </w:p>
    <w:p w14:paraId="150E0328" w14:textId="77777777" w:rsidR="00CC4055" w:rsidRPr="00CC4055" w:rsidRDefault="00CC4055" w:rsidP="00AE5470">
      <w:pPr>
        <w:spacing w:before="120" w:line="288" w:lineRule="auto"/>
        <w:jc w:val="both"/>
        <w:rPr>
          <w:rFonts w:ascii="Arial" w:hAnsi="Arial" w:cs="Arial"/>
          <w:sz w:val="20"/>
          <w:szCs w:val="20"/>
        </w:rPr>
      </w:pPr>
      <w:r w:rsidRPr="00CC4055">
        <w:rPr>
          <w:rFonts w:ascii="Arial" w:hAnsi="Arial" w:cs="Arial"/>
          <w:sz w:val="20"/>
          <w:szCs w:val="20"/>
        </w:rPr>
        <w:t>En el conjunto de sectores analizados, Hostelería lidera las previsiones de contratación para el cuarto trimestre con un 37%, seguida de Tecnología (27%). Con una expectativa neta de empleo del 24%, Construcción e Inmobiliario se sitúa a continuación y refuerza su posición entre las actividades con mejores perspectivas de contratación para el cierre de 2026.</w:t>
      </w:r>
    </w:p>
    <w:p w14:paraId="4B115EE4" w14:textId="3E606B20" w:rsidR="00E63624" w:rsidRPr="00E63624" w:rsidRDefault="00E63624" w:rsidP="00AE5470">
      <w:pPr>
        <w:spacing w:before="120" w:line="288" w:lineRule="auto"/>
        <w:jc w:val="both"/>
        <w:rPr>
          <w:rFonts w:ascii="Arial" w:eastAsia="Arial" w:hAnsi="Arial" w:cs="Arial"/>
          <w:bCs/>
          <w:sz w:val="20"/>
          <w:szCs w:val="20"/>
        </w:rPr>
      </w:pPr>
      <w:r w:rsidRPr="00E63624">
        <w:rPr>
          <w:rFonts w:ascii="Arial" w:hAnsi="Arial" w:cs="Arial"/>
          <w:sz w:val="20"/>
          <w:szCs w:val="20"/>
        </w:rPr>
        <w:t xml:space="preserve">Por detrás se sitúan </w:t>
      </w:r>
      <w:r w:rsidRPr="00E63624">
        <w:rPr>
          <w:rStyle w:val="Fuerte"/>
          <w:rFonts w:ascii="Arial" w:hAnsi="Arial" w:cs="Arial"/>
          <w:sz w:val="20"/>
          <w:szCs w:val="20"/>
        </w:rPr>
        <w:t>Industria (22%)</w:t>
      </w:r>
      <w:r w:rsidRPr="00E63624">
        <w:rPr>
          <w:rFonts w:ascii="Arial" w:hAnsi="Arial" w:cs="Arial"/>
          <w:sz w:val="20"/>
          <w:szCs w:val="20"/>
        </w:rPr>
        <w:t xml:space="preserve"> y </w:t>
      </w:r>
      <w:r w:rsidRPr="00E63624">
        <w:rPr>
          <w:rStyle w:val="Fuerte"/>
          <w:rFonts w:ascii="Arial" w:hAnsi="Arial" w:cs="Arial"/>
          <w:sz w:val="20"/>
          <w:szCs w:val="20"/>
        </w:rPr>
        <w:t>Comercio y Logística (19%)</w:t>
      </w:r>
      <w:r w:rsidRPr="00E63624">
        <w:rPr>
          <w:rFonts w:ascii="Arial" w:hAnsi="Arial" w:cs="Arial"/>
          <w:sz w:val="20"/>
          <w:szCs w:val="20"/>
        </w:rPr>
        <w:t xml:space="preserve">, mientras que </w:t>
      </w:r>
      <w:r w:rsidRPr="00E63624">
        <w:rPr>
          <w:rStyle w:val="Fuerte"/>
          <w:rFonts w:ascii="Arial" w:hAnsi="Arial" w:cs="Arial"/>
          <w:sz w:val="20"/>
          <w:szCs w:val="20"/>
        </w:rPr>
        <w:t>Información (17%)</w:t>
      </w:r>
      <w:r w:rsidRPr="00E63624">
        <w:rPr>
          <w:rFonts w:ascii="Arial" w:hAnsi="Arial" w:cs="Arial"/>
          <w:sz w:val="20"/>
          <w:szCs w:val="20"/>
        </w:rPr>
        <w:t xml:space="preserve"> registra una previsión del 17%. Completan el ranking </w:t>
      </w:r>
      <w:r w:rsidRPr="00E63624">
        <w:rPr>
          <w:rStyle w:val="Fuerte"/>
          <w:rFonts w:ascii="Arial" w:hAnsi="Arial" w:cs="Arial"/>
          <w:sz w:val="20"/>
          <w:szCs w:val="20"/>
        </w:rPr>
        <w:t>Servicios Profesionales, Científicos y Técnicos (15%)</w:t>
      </w:r>
      <w:r w:rsidRPr="00E63624">
        <w:rPr>
          <w:rFonts w:ascii="Arial" w:hAnsi="Arial" w:cs="Arial"/>
          <w:sz w:val="20"/>
          <w:szCs w:val="20"/>
        </w:rPr>
        <w:t xml:space="preserve">, </w:t>
      </w:r>
      <w:r w:rsidRPr="00E63624">
        <w:rPr>
          <w:rStyle w:val="Fuerte"/>
          <w:rFonts w:ascii="Arial" w:hAnsi="Arial" w:cs="Arial"/>
          <w:sz w:val="20"/>
          <w:szCs w:val="20"/>
        </w:rPr>
        <w:t>Finanzas y Seguros (14%)</w:t>
      </w:r>
      <w:r w:rsidRPr="00E63624">
        <w:rPr>
          <w:rFonts w:ascii="Arial" w:hAnsi="Arial" w:cs="Arial"/>
          <w:sz w:val="20"/>
          <w:szCs w:val="20"/>
        </w:rPr>
        <w:t xml:space="preserve">, </w:t>
      </w:r>
      <w:r w:rsidRPr="00E63624">
        <w:rPr>
          <w:rStyle w:val="Fuerte"/>
          <w:rFonts w:ascii="Arial" w:hAnsi="Arial" w:cs="Arial"/>
          <w:sz w:val="20"/>
          <w:szCs w:val="20"/>
        </w:rPr>
        <w:t>Sector Público, Sanidad y Servicios Sociales (12%)</w:t>
      </w:r>
      <w:r w:rsidRPr="00E63624">
        <w:rPr>
          <w:rFonts w:ascii="Arial" w:hAnsi="Arial" w:cs="Arial"/>
          <w:sz w:val="20"/>
          <w:szCs w:val="20"/>
        </w:rPr>
        <w:t xml:space="preserve"> y </w:t>
      </w:r>
      <w:r w:rsidRPr="00E63624">
        <w:rPr>
          <w:rStyle w:val="Fuerte"/>
          <w:rFonts w:ascii="Arial" w:hAnsi="Arial" w:cs="Arial"/>
          <w:sz w:val="20"/>
          <w:szCs w:val="20"/>
        </w:rPr>
        <w:t>Energía y Recursos Naturales (9%)</w:t>
      </w:r>
      <w:r w:rsidRPr="00E63624">
        <w:rPr>
          <w:rFonts w:ascii="Arial" w:hAnsi="Arial" w:cs="Arial"/>
          <w:sz w:val="20"/>
          <w:szCs w:val="20"/>
        </w:rPr>
        <w:t>, que presenta las previsiones más contenidas del trimestre.</w:t>
      </w:r>
    </w:p>
    <w:p w14:paraId="4E614248" w14:textId="7FE3D3CC" w:rsidR="00CC4055" w:rsidRPr="00CC4055" w:rsidRDefault="00CC4055" w:rsidP="00AE5470">
      <w:pPr>
        <w:spacing w:before="120" w:line="288" w:lineRule="auto"/>
        <w:jc w:val="both"/>
        <w:rPr>
          <w:rFonts w:ascii="Arial" w:eastAsia="Times New Roman" w:hAnsi="Arial" w:cs="Arial"/>
          <w:sz w:val="20"/>
          <w:szCs w:val="20"/>
        </w:rPr>
      </w:pPr>
      <w:r w:rsidRPr="00CC4055">
        <w:rPr>
          <w:rFonts w:ascii="Arial" w:eastAsia="Times New Roman" w:hAnsi="Arial" w:cs="Arial"/>
          <w:sz w:val="20"/>
          <w:szCs w:val="20"/>
        </w:rPr>
        <w:lastRenderedPageBreak/>
        <w:t>Con una expectativa neta de empleo del 24%, Construcción e Inmobiliario supera en seis puntos la media nacional</w:t>
      </w:r>
      <w:r>
        <w:rPr>
          <w:rFonts w:ascii="Arial" w:eastAsia="Times New Roman" w:hAnsi="Arial" w:cs="Arial"/>
          <w:sz w:val="20"/>
          <w:szCs w:val="20"/>
        </w:rPr>
        <w:t xml:space="preserve"> (18%)</w:t>
      </w:r>
      <w:r w:rsidRPr="00CC4055">
        <w:rPr>
          <w:rFonts w:ascii="Arial" w:eastAsia="Times New Roman" w:hAnsi="Arial" w:cs="Arial"/>
          <w:sz w:val="20"/>
          <w:szCs w:val="20"/>
        </w:rPr>
        <w:t xml:space="preserve"> y consolida el impulso mostrado durante el último año, reforzando su papel como uno de los sectores con mejores perspectivas de contratación para el cierre de 2026.</w:t>
      </w:r>
    </w:p>
    <w:p w14:paraId="57779EDD" w14:textId="46A353FE" w:rsidR="009D7826" w:rsidRDefault="009D7826" w:rsidP="009D7826">
      <w:pPr>
        <w:spacing w:before="120" w:line="288" w:lineRule="auto"/>
        <w:jc w:val="center"/>
        <w:rPr>
          <w:rFonts w:ascii="Arial" w:eastAsia="Arial" w:hAnsi="Arial" w:cs="Arial"/>
          <w:bCs/>
          <w:sz w:val="22"/>
          <w:szCs w:val="22"/>
        </w:rPr>
      </w:pPr>
      <w:r>
        <w:rPr>
          <w:rFonts w:ascii="Arial" w:eastAsia="Arial" w:hAnsi="Arial" w:cs="Arial"/>
          <w:bCs/>
          <w:noProof/>
          <w:sz w:val="22"/>
          <w:szCs w:val="22"/>
        </w:rPr>
        <w:drawing>
          <wp:inline distT="0" distB="0" distL="0" distR="0" wp14:anchorId="0E028B30" wp14:editId="2DE20A17">
            <wp:extent cx="4320000" cy="3850490"/>
            <wp:effectExtent l="0" t="0" r="0" b="0"/>
            <wp:docPr id="7981110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3850490"/>
                    </a:xfrm>
                    <a:prstGeom prst="rect">
                      <a:avLst/>
                    </a:prstGeom>
                    <a:noFill/>
                  </pic:spPr>
                </pic:pic>
              </a:graphicData>
            </a:graphic>
          </wp:inline>
        </w:drawing>
      </w:r>
    </w:p>
    <w:p w14:paraId="6CAEE2D5" w14:textId="77777777" w:rsidR="009D7826" w:rsidRDefault="009D7826" w:rsidP="009D7826">
      <w:pPr>
        <w:spacing w:before="120" w:line="288" w:lineRule="auto"/>
        <w:jc w:val="center"/>
        <w:rPr>
          <w:rFonts w:ascii="Arial" w:eastAsia="Arial" w:hAnsi="Arial" w:cs="Arial"/>
          <w:bCs/>
          <w:sz w:val="22"/>
          <w:szCs w:val="22"/>
        </w:rPr>
      </w:pPr>
    </w:p>
    <w:p w14:paraId="403D5351" w14:textId="77777777" w:rsidR="00B3116A" w:rsidRDefault="00B3116A" w:rsidP="00AE5470">
      <w:pPr>
        <w:spacing w:before="120" w:line="288" w:lineRule="auto"/>
        <w:jc w:val="center"/>
        <w:rPr>
          <w:rFonts w:ascii="Arial" w:eastAsia="Arial" w:hAnsi="Arial" w:cs="Arial"/>
          <w:bCs/>
          <w:sz w:val="20"/>
          <w:szCs w:val="20"/>
        </w:rPr>
      </w:pPr>
      <w:r>
        <w:rPr>
          <w:rFonts w:ascii="Arial" w:eastAsia="Arial" w:hAnsi="Arial" w:cs="Arial"/>
          <w:bCs/>
          <w:sz w:val="20"/>
          <w:szCs w:val="20"/>
        </w:rPr>
        <w:t>###</w:t>
      </w:r>
    </w:p>
    <w:p w14:paraId="0BB21941" w14:textId="77777777" w:rsidR="00B3116A" w:rsidRPr="00320AB2" w:rsidRDefault="00B3116A" w:rsidP="00AE5470">
      <w:pPr>
        <w:spacing w:before="120" w:line="288" w:lineRule="auto"/>
        <w:jc w:val="both"/>
        <w:rPr>
          <w:rFonts w:ascii="Arial" w:hAnsi="Arial" w:cs="Arial"/>
          <w:color w:val="808080" w:themeColor="background1" w:themeShade="80"/>
          <w:sz w:val="18"/>
          <w:szCs w:val="18"/>
        </w:rPr>
      </w:pPr>
      <w:r w:rsidRPr="00320AB2">
        <w:rPr>
          <w:rFonts w:ascii="Arial" w:hAnsi="Arial" w:cs="Arial"/>
          <w:b/>
          <w:bCs/>
          <w:color w:val="808080" w:themeColor="background1" w:themeShade="80"/>
          <w:sz w:val="18"/>
          <w:szCs w:val="18"/>
        </w:rPr>
        <w:t xml:space="preserve">Sobre el Estudio de Proyección de Empleo de </w:t>
      </w:r>
      <w:proofErr w:type="spellStart"/>
      <w:r w:rsidRPr="00320AB2">
        <w:rPr>
          <w:rFonts w:ascii="Arial" w:hAnsi="Arial" w:cs="Arial"/>
          <w:b/>
          <w:bCs/>
          <w:color w:val="808080" w:themeColor="background1" w:themeShade="80"/>
          <w:sz w:val="18"/>
          <w:szCs w:val="18"/>
        </w:rPr>
        <w:t>ManpowerGroup</w:t>
      </w:r>
      <w:proofErr w:type="spellEnd"/>
      <w:r w:rsidRPr="00320AB2">
        <w:rPr>
          <w:rFonts w:ascii="Arial" w:hAnsi="Arial" w:cs="Arial"/>
          <w:b/>
          <w:bCs/>
          <w:color w:val="808080" w:themeColor="background1" w:themeShade="80"/>
          <w:sz w:val="18"/>
          <w:szCs w:val="18"/>
        </w:rPr>
        <w:t xml:space="preserve">: </w:t>
      </w:r>
      <w:r w:rsidRPr="00320AB2">
        <w:rPr>
          <w:rFonts w:ascii="Arial" w:hAnsi="Arial" w:cs="Arial"/>
          <w:color w:val="808080" w:themeColor="background1" w:themeShade="80"/>
          <w:sz w:val="18"/>
          <w:szCs w:val="18"/>
        </w:rPr>
        <w:t xml:space="preserve">El Estudio de Proyección de Empleo de </w:t>
      </w:r>
      <w:proofErr w:type="spellStart"/>
      <w:r w:rsidRPr="00320AB2">
        <w:rPr>
          <w:rFonts w:ascii="Arial" w:hAnsi="Arial" w:cs="Arial"/>
          <w:color w:val="808080" w:themeColor="background1" w:themeShade="80"/>
          <w:sz w:val="18"/>
          <w:szCs w:val="18"/>
        </w:rPr>
        <w:t>ManpowerGroup</w:t>
      </w:r>
      <w:proofErr w:type="spellEnd"/>
      <w:r w:rsidRPr="00320AB2">
        <w:rPr>
          <w:rFonts w:ascii="Arial" w:hAnsi="Arial" w:cs="Arial"/>
          <w:color w:val="808080" w:themeColor="background1" w:themeShade="80"/>
          <w:sz w:val="18"/>
          <w:szCs w:val="18"/>
        </w:rPr>
        <w:t>, utilizado en todo el mundo como indicador económico de referencia, es la encuesta de empleo más exhaustiva de este tipo. La Proyección de Empleo Neto se obtiene tomando el porcentaje de empresas que prevén un incremento de la contratación y restando el porcentaje de aquellas que esperan una reducción. El estudio</w:t>
      </w:r>
      <w:r>
        <w:rPr>
          <w:rFonts w:ascii="Arial" w:hAnsi="Arial" w:cs="Arial"/>
          <w:color w:val="808080" w:themeColor="background1" w:themeShade="80"/>
          <w:sz w:val="18"/>
          <w:szCs w:val="18"/>
        </w:rPr>
        <w:t xml:space="preserve"> </w:t>
      </w:r>
      <w:r w:rsidRPr="00320AB2">
        <w:rPr>
          <w:rFonts w:ascii="Arial" w:hAnsi="Arial" w:cs="Arial"/>
          <w:color w:val="808080" w:themeColor="background1" w:themeShade="80"/>
          <w:sz w:val="18"/>
          <w:szCs w:val="18"/>
        </w:rPr>
        <w:t>se realiza desde 1962.</w:t>
      </w:r>
    </w:p>
    <w:p w14:paraId="4A7F8963" w14:textId="77777777" w:rsidR="00B3116A" w:rsidRPr="00320AB2" w:rsidRDefault="00B3116A" w:rsidP="00AE5470">
      <w:pPr>
        <w:spacing w:before="120" w:line="288" w:lineRule="auto"/>
        <w:jc w:val="both"/>
        <w:rPr>
          <w:rFonts w:ascii="Arial" w:hAnsi="Arial" w:cs="Arial"/>
          <w:color w:val="808080" w:themeColor="background1" w:themeShade="80"/>
          <w:sz w:val="18"/>
          <w:szCs w:val="18"/>
        </w:rPr>
      </w:pPr>
      <w:r w:rsidRPr="00320AB2">
        <w:rPr>
          <w:rFonts w:ascii="Arial" w:hAnsi="Arial" w:cs="Arial"/>
          <w:color w:val="808080" w:themeColor="background1" w:themeShade="80"/>
          <w:sz w:val="18"/>
          <w:szCs w:val="18"/>
        </w:rPr>
        <w:t xml:space="preserve">Los datos correspondientes al </w:t>
      </w:r>
      <w:r>
        <w:rPr>
          <w:rFonts w:ascii="Arial" w:hAnsi="Arial" w:cs="Arial"/>
          <w:color w:val="808080" w:themeColor="background1" w:themeShade="80"/>
          <w:sz w:val="18"/>
          <w:szCs w:val="18"/>
        </w:rPr>
        <w:t xml:space="preserve">cuarto </w:t>
      </w:r>
      <w:r w:rsidRPr="00320AB2">
        <w:rPr>
          <w:rFonts w:ascii="Arial" w:hAnsi="Arial" w:cs="Arial"/>
          <w:color w:val="808080" w:themeColor="background1" w:themeShade="80"/>
          <w:sz w:val="18"/>
          <w:szCs w:val="18"/>
        </w:rPr>
        <w:t>trimestre se recopilaron entre el 1 y el 31 de julio de 2026. Los resultados reflejan la percepción de las empresas en el momento de la recogida de datos y pueden no incorporar el impacto potencial de acontecimientos posteriores. El tamaño de las empresas y los sectores se estandariza en todos los países para facilitar comparaciones internacionales.</w:t>
      </w:r>
    </w:p>
    <w:p w14:paraId="19C66C57" w14:textId="77777777" w:rsidR="00B3116A" w:rsidRDefault="00B3116A" w:rsidP="00B3116A">
      <w:pPr>
        <w:jc w:val="both"/>
        <w:textAlignment w:val="baseline"/>
        <w:rPr>
          <w:rFonts w:ascii="Arial" w:eastAsia="Arial" w:hAnsi="Arial" w:cs="Arial"/>
          <w:sz w:val="16"/>
          <w:szCs w:val="16"/>
        </w:rPr>
      </w:pPr>
    </w:p>
    <w:p w14:paraId="56CC368E" w14:textId="77777777" w:rsidR="00CD25A9" w:rsidRDefault="00CD25A9" w:rsidP="00B72312">
      <w:pPr>
        <w:jc w:val="both"/>
        <w:textAlignment w:val="baseline"/>
        <w:rPr>
          <w:rFonts w:ascii="Arial" w:eastAsia="Arial" w:hAnsi="Arial" w:cs="Arial"/>
          <w:sz w:val="16"/>
          <w:szCs w:val="16"/>
        </w:rPr>
      </w:pPr>
    </w:p>
    <w:p w14:paraId="3EC545EE" w14:textId="77777777" w:rsidR="00CD25A9" w:rsidRPr="00B15032" w:rsidRDefault="00CD25A9" w:rsidP="00B72312">
      <w:pPr>
        <w:jc w:val="both"/>
        <w:textAlignment w:val="baseline"/>
        <w:rPr>
          <w:rFonts w:ascii="Arial" w:eastAsia="Arial" w:hAnsi="Arial" w:cs="Arial"/>
          <w:sz w:val="16"/>
          <w:szCs w:val="16"/>
        </w:rPr>
      </w:pPr>
    </w:p>
    <w:p w14:paraId="1453413C" w14:textId="77777777" w:rsidR="00B72312" w:rsidRPr="003F3B91" w:rsidRDefault="00B72312" w:rsidP="00B72312">
      <w:pPr>
        <w:jc w:val="both"/>
        <w:rPr>
          <w:rFonts w:ascii="Arial" w:eastAsia="Arial" w:hAnsi="Arial" w:cs="Arial"/>
          <w:sz w:val="16"/>
          <w:szCs w:val="16"/>
        </w:rPr>
      </w:pPr>
      <w:proofErr w:type="spellStart"/>
      <w:r w:rsidRPr="003F3B91">
        <w:rPr>
          <w:rFonts w:ascii="Arial" w:eastAsia="Arial" w:hAnsi="Arial" w:cs="Arial"/>
          <w:b/>
          <w:sz w:val="16"/>
          <w:szCs w:val="16"/>
        </w:rPr>
        <w:t>ManpowerGroup</w:t>
      </w:r>
      <w:proofErr w:type="spellEnd"/>
    </w:p>
    <w:p w14:paraId="58FA64E6" w14:textId="77777777" w:rsidR="00B72312" w:rsidRPr="003F3B91" w:rsidRDefault="00B72312" w:rsidP="00B72312">
      <w:pPr>
        <w:jc w:val="both"/>
        <w:rPr>
          <w:rFonts w:ascii="Arial" w:hAnsi="Arial" w:cs="Arial"/>
          <w:sz w:val="16"/>
          <w:szCs w:val="16"/>
        </w:rPr>
      </w:pPr>
      <w:proofErr w:type="spellStart"/>
      <w:r w:rsidRPr="003F3B91">
        <w:rPr>
          <w:rFonts w:ascii="Arial" w:hAnsi="Arial" w:cs="Arial"/>
          <w:sz w:val="16"/>
          <w:szCs w:val="16"/>
        </w:rPr>
        <w:t>ManpowerGroup</w:t>
      </w:r>
      <w:proofErr w:type="spellEnd"/>
      <w:r w:rsidRPr="003F3B91">
        <w:rPr>
          <w:rFonts w:ascii="Arial" w:hAnsi="Arial" w:cs="Arial"/>
          <w:sz w:val="16"/>
          <w:szCs w:val="16"/>
        </w:rPr>
        <w:t xml:space="preserve"> es la compañía líder mundial en soluciones de talento y tecnología. Ayuda a las organizaciones a adaptarse a un mercado del empleo en constante cambio, seleccionando, evaluando, desarrollando y gestionando el talento que necesitan para lograr sus objetivos de negocio. Apoyándose en las últimas herramientas tecnológicas, crea estrategias innovadoras para cientos de miles de empresas cada año, permitiéndoles contar con los profesionales cualificados que necesitan, al mismo tiempo que ofrece un empleo digno y sostenible a millones de personas. A través de sus distintas marcas (Manpower, </w:t>
      </w:r>
      <w:proofErr w:type="spellStart"/>
      <w:r w:rsidRPr="003F3B91">
        <w:rPr>
          <w:rFonts w:ascii="Arial" w:hAnsi="Arial" w:cs="Arial"/>
          <w:sz w:val="16"/>
          <w:szCs w:val="16"/>
        </w:rPr>
        <w:t>Experis</w:t>
      </w:r>
      <w:proofErr w:type="spellEnd"/>
      <w:r w:rsidRPr="003F3B91">
        <w:rPr>
          <w:rFonts w:ascii="Arial" w:hAnsi="Arial" w:cs="Arial"/>
          <w:sz w:val="16"/>
          <w:szCs w:val="16"/>
        </w:rPr>
        <w:t xml:space="preserve"> y Talent </w:t>
      </w:r>
      <w:proofErr w:type="spellStart"/>
      <w:r w:rsidRPr="003F3B91">
        <w:rPr>
          <w:rFonts w:ascii="Arial" w:hAnsi="Arial" w:cs="Arial"/>
          <w:sz w:val="16"/>
          <w:szCs w:val="16"/>
        </w:rPr>
        <w:t>Solutions</w:t>
      </w:r>
      <w:proofErr w:type="spellEnd"/>
      <w:r w:rsidRPr="003F3B91">
        <w:rPr>
          <w:rFonts w:ascii="Arial" w:hAnsi="Arial" w:cs="Arial"/>
          <w:sz w:val="16"/>
          <w:szCs w:val="16"/>
        </w:rPr>
        <w:t>), aporta valor a candidatos y clientes en más de 75 países, como lleva haciendo durante más de 75 años. Además, sus políticas de diversidad, inclusión e igualdad y sus buenas prácticas de negocio son reconocidas por multitud de organizaciones.</w:t>
      </w:r>
    </w:p>
    <w:p w14:paraId="18FDBE0C" w14:textId="77777777" w:rsidR="00B72312" w:rsidRPr="003F3B91" w:rsidRDefault="00B72312" w:rsidP="00B72312">
      <w:pPr>
        <w:jc w:val="both"/>
        <w:rPr>
          <w:rFonts w:ascii="Arial" w:hAnsi="Arial" w:cs="Arial"/>
          <w:sz w:val="16"/>
          <w:szCs w:val="16"/>
        </w:rPr>
      </w:pPr>
      <w:r w:rsidRPr="003F3B91">
        <w:rPr>
          <w:rFonts w:ascii="Arial" w:hAnsi="Arial" w:cs="Arial"/>
          <w:sz w:val="16"/>
          <w:szCs w:val="16"/>
        </w:rPr>
        <w:t xml:space="preserve">Más información en </w:t>
      </w:r>
      <w:hyperlink r:id="rId9" w:history="1">
        <w:r w:rsidRPr="003F3B91">
          <w:rPr>
            <w:rStyle w:val="Hipervnculo"/>
            <w:rFonts w:ascii="Arial" w:hAnsi="Arial" w:cs="Arial"/>
            <w:sz w:val="16"/>
            <w:szCs w:val="16"/>
          </w:rPr>
          <w:t>www.manpowergroup.es</w:t>
        </w:r>
      </w:hyperlink>
      <w:r w:rsidRPr="003F3B91">
        <w:rPr>
          <w:rFonts w:ascii="Arial" w:hAnsi="Arial" w:cs="Arial"/>
          <w:sz w:val="16"/>
          <w:szCs w:val="16"/>
        </w:rPr>
        <w:t>.</w:t>
      </w:r>
    </w:p>
    <w:p w14:paraId="59709AD0" w14:textId="77777777" w:rsidR="00B72312" w:rsidRPr="003F3B91" w:rsidRDefault="00B72312" w:rsidP="00B72312">
      <w:pPr>
        <w:jc w:val="both"/>
        <w:rPr>
          <w:rFonts w:ascii="Arial" w:eastAsia="Arial" w:hAnsi="Arial" w:cs="Arial"/>
          <w:sz w:val="16"/>
          <w:szCs w:val="16"/>
        </w:rPr>
      </w:pPr>
    </w:p>
    <w:p w14:paraId="4FF01034" w14:textId="77777777" w:rsidR="00B72312" w:rsidRPr="003F3B91" w:rsidRDefault="00B72312" w:rsidP="00B72312">
      <w:pPr>
        <w:jc w:val="both"/>
        <w:rPr>
          <w:rFonts w:ascii="Arial" w:eastAsia="Arial" w:hAnsi="Arial" w:cs="Arial"/>
          <w:sz w:val="16"/>
          <w:szCs w:val="16"/>
        </w:rPr>
      </w:pPr>
    </w:p>
    <w:p w14:paraId="47AA7148" w14:textId="77777777" w:rsidR="00B72312" w:rsidRPr="00761D60" w:rsidRDefault="00B72312" w:rsidP="00B72312">
      <w:pPr>
        <w:tabs>
          <w:tab w:val="right" w:pos="8838"/>
        </w:tabs>
        <w:autoSpaceDE w:val="0"/>
        <w:autoSpaceDN w:val="0"/>
        <w:adjustRightInd w:val="0"/>
        <w:jc w:val="both"/>
        <w:rPr>
          <w:rFonts w:ascii="Arial" w:hAnsi="Arial" w:cs="Arial"/>
          <w:b/>
          <w:bCs/>
          <w:sz w:val="16"/>
          <w:szCs w:val="16"/>
        </w:rPr>
      </w:pPr>
      <w:r w:rsidRPr="00761D60">
        <w:rPr>
          <w:rFonts w:ascii="Arial" w:hAnsi="Arial" w:cs="Arial"/>
          <w:b/>
          <w:bCs/>
          <w:sz w:val="16"/>
          <w:szCs w:val="16"/>
        </w:rPr>
        <w:t>Para más información:</w:t>
      </w:r>
    </w:p>
    <w:tbl>
      <w:tblPr>
        <w:tblW w:w="8948" w:type="dxa"/>
        <w:tblLayout w:type="fixed"/>
        <w:tblLook w:val="04A0" w:firstRow="1" w:lastRow="0" w:firstColumn="1" w:lastColumn="0" w:noHBand="0" w:noVBand="1"/>
      </w:tblPr>
      <w:tblGrid>
        <w:gridCol w:w="3686"/>
        <w:gridCol w:w="2234"/>
        <w:gridCol w:w="3028"/>
      </w:tblGrid>
      <w:tr w:rsidR="00B72312" w:rsidRPr="008861A5" w14:paraId="74BE4560" w14:textId="77777777" w:rsidTr="000B5A95">
        <w:trPr>
          <w:trHeight w:val="1159"/>
        </w:trPr>
        <w:tc>
          <w:tcPr>
            <w:tcW w:w="3686" w:type="dxa"/>
            <w:hideMark/>
          </w:tcPr>
          <w:p w14:paraId="70C8C18D" w14:textId="77777777" w:rsidR="00B72312" w:rsidRPr="00761D60" w:rsidRDefault="00B72312" w:rsidP="000B5A95">
            <w:pPr>
              <w:pStyle w:val="NormalWeb"/>
              <w:spacing w:before="0" w:beforeAutospacing="0" w:after="0" w:afterAutospacing="0"/>
              <w:jc w:val="both"/>
              <w:rPr>
                <w:rStyle w:val="Hipervnculo"/>
                <w:rFonts w:ascii="Arial" w:eastAsia="MS Mincho" w:hAnsi="Arial" w:cs="Arial"/>
                <w:sz w:val="16"/>
                <w:szCs w:val="16"/>
              </w:rPr>
            </w:pPr>
            <w:r w:rsidRPr="00761D60">
              <w:rPr>
                <w:rFonts w:ascii="Arial" w:hAnsi="Arial" w:cs="Arial"/>
                <w:color w:val="000000"/>
                <w:sz w:val="16"/>
                <w:szCs w:val="16"/>
                <w:u w:val="single"/>
              </w:rPr>
              <w:t xml:space="preserve">Agencia de comunicación </w:t>
            </w:r>
            <w:r>
              <w:rPr>
                <w:rFonts w:ascii="Arial" w:hAnsi="Arial" w:cs="Arial"/>
                <w:color w:val="000000"/>
                <w:sz w:val="16"/>
                <w:szCs w:val="16"/>
                <w:u w:val="single"/>
              </w:rPr>
              <w:t>Havas PR</w:t>
            </w:r>
          </w:p>
          <w:p w14:paraId="60B63BBA" w14:textId="77777777" w:rsidR="00B72312" w:rsidRPr="00030508" w:rsidRDefault="00B72312" w:rsidP="000B5A95">
            <w:pPr>
              <w:pStyle w:val="NormalWeb"/>
              <w:spacing w:before="0" w:beforeAutospacing="0" w:after="0" w:afterAutospacing="0"/>
              <w:rPr>
                <w:rFonts w:ascii="Arial" w:hAnsi="Arial" w:cs="Arial"/>
                <w:color w:val="000000"/>
                <w:sz w:val="16"/>
                <w:szCs w:val="16"/>
              </w:rPr>
            </w:pPr>
            <w:hyperlink r:id="rId10" w:history="1">
              <w:r w:rsidRPr="00DC170F">
                <w:rPr>
                  <w:rStyle w:val="Hipervnculo"/>
                  <w:rFonts w:ascii="Arial" w:hAnsi="Arial" w:cs="Arial"/>
                  <w:b/>
                  <w:bCs/>
                  <w:sz w:val="16"/>
                  <w:szCs w:val="16"/>
                </w:rPr>
                <w:t>comunicacion.manpowergroup@havas.com</w:t>
              </w:r>
            </w:hyperlink>
            <w:r w:rsidRPr="00030508">
              <w:rPr>
                <w:rFonts w:ascii="Arial" w:hAnsi="Arial" w:cs="Arial"/>
                <w:b/>
                <w:bCs/>
                <w:color w:val="000000"/>
                <w:sz w:val="16"/>
                <w:szCs w:val="16"/>
              </w:rPr>
              <w:t xml:space="preserve"> </w:t>
            </w:r>
          </w:p>
          <w:p w14:paraId="4A1E3200" w14:textId="77777777" w:rsidR="00B72312" w:rsidRPr="00761D60" w:rsidRDefault="00B72312" w:rsidP="000B5A95">
            <w:pPr>
              <w:jc w:val="both"/>
              <w:outlineLvl w:val="0"/>
              <w:rPr>
                <w:rFonts w:ascii="Arial" w:hAnsi="Arial" w:cs="Arial"/>
                <w:b/>
                <w:sz w:val="16"/>
                <w:szCs w:val="16"/>
                <w:lang w:val="ca-ES"/>
              </w:rPr>
            </w:pPr>
          </w:p>
        </w:tc>
        <w:tc>
          <w:tcPr>
            <w:tcW w:w="2234" w:type="dxa"/>
          </w:tcPr>
          <w:p w14:paraId="03710544" w14:textId="77777777" w:rsidR="00B72312" w:rsidRPr="00761D60" w:rsidRDefault="00B72312" w:rsidP="000B5A95">
            <w:pPr>
              <w:jc w:val="both"/>
              <w:rPr>
                <w:rFonts w:ascii="Arial" w:hAnsi="Arial" w:cs="Arial"/>
                <w:sz w:val="16"/>
                <w:szCs w:val="16"/>
                <w:lang w:val="ca-ES"/>
              </w:rPr>
            </w:pPr>
          </w:p>
        </w:tc>
        <w:tc>
          <w:tcPr>
            <w:tcW w:w="3028" w:type="dxa"/>
          </w:tcPr>
          <w:p w14:paraId="21E3BE53" w14:textId="77777777" w:rsidR="00B72312" w:rsidRPr="00761D60" w:rsidRDefault="00B72312" w:rsidP="000B5A95">
            <w:pPr>
              <w:jc w:val="both"/>
              <w:outlineLvl w:val="0"/>
              <w:rPr>
                <w:rFonts w:ascii="Arial" w:hAnsi="Arial" w:cs="Arial"/>
                <w:b/>
                <w:sz w:val="16"/>
                <w:szCs w:val="16"/>
              </w:rPr>
            </w:pPr>
            <w:proofErr w:type="spellStart"/>
            <w:r w:rsidRPr="00761D60">
              <w:rPr>
                <w:rFonts w:ascii="Arial" w:hAnsi="Arial" w:cs="Arial"/>
                <w:b/>
                <w:sz w:val="16"/>
                <w:szCs w:val="16"/>
              </w:rPr>
              <w:t>ManpowerGroup</w:t>
            </w:r>
            <w:proofErr w:type="spellEnd"/>
          </w:p>
          <w:p w14:paraId="3909279B" w14:textId="77777777" w:rsidR="00B72312" w:rsidRPr="00761D60" w:rsidRDefault="00B72312" w:rsidP="000B5A95">
            <w:pPr>
              <w:jc w:val="both"/>
              <w:outlineLvl w:val="0"/>
              <w:rPr>
                <w:rFonts w:ascii="Arial" w:hAnsi="Arial" w:cs="Arial"/>
                <w:sz w:val="16"/>
                <w:szCs w:val="16"/>
              </w:rPr>
            </w:pPr>
            <w:r w:rsidRPr="00761D60">
              <w:rPr>
                <w:rFonts w:ascii="Arial" w:hAnsi="Arial" w:cs="Arial"/>
                <w:sz w:val="16"/>
                <w:szCs w:val="16"/>
              </w:rPr>
              <w:t>Dpto. Comunicación</w:t>
            </w:r>
          </w:p>
          <w:p w14:paraId="2F413AA7" w14:textId="77777777" w:rsidR="00B72312" w:rsidRPr="000D00D5" w:rsidRDefault="00B72312" w:rsidP="000B5A95">
            <w:pPr>
              <w:jc w:val="both"/>
              <w:rPr>
                <w:rFonts w:ascii="Arial" w:hAnsi="Arial" w:cs="Arial"/>
                <w:sz w:val="16"/>
                <w:szCs w:val="16"/>
              </w:rPr>
            </w:pPr>
            <w:r w:rsidRPr="000D00D5">
              <w:rPr>
                <w:rFonts w:ascii="Arial" w:hAnsi="Arial" w:cs="Arial"/>
                <w:sz w:val="16"/>
                <w:szCs w:val="16"/>
              </w:rPr>
              <w:t xml:space="preserve">Gala Díaz Curiel </w:t>
            </w:r>
          </w:p>
          <w:p w14:paraId="7473EE3C" w14:textId="77777777" w:rsidR="00B72312" w:rsidRPr="000D00D5" w:rsidRDefault="00B72312" w:rsidP="000B5A95">
            <w:pPr>
              <w:jc w:val="both"/>
              <w:rPr>
                <w:rFonts w:ascii="Arial" w:hAnsi="Arial" w:cs="Arial"/>
                <w:sz w:val="16"/>
                <w:szCs w:val="16"/>
              </w:rPr>
            </w:pPr>
            <w:r w:rsidRPr="000D00D5">
              <w:rPr>
                <w:rFonts w:ascii="Arial" w:hAnsi="Arial" w:cs="Arial"/>
                <w:sz w:val="16"/>
                <w:szCs w:val="16"/>
              </w:rPr>
              <w:t>607 35 33 49</w:t>
            </w:r>
          </w:p>
          <w:p w14:paraId="1E875E46" w14:textId="77777777" w:rsidR="00B72312" w:rsidRPr="000D00D5" w:rsidRDefault="00B72312" w:rsidP="000B5A95">
            <w:pPr>
              <w:jc w:val="both"/>
              <w:rPr>
                <w:rFonts w:ascii="Arial" w:hAnsi="Arial" w:cs="Arial"/>
                <w:sz w:val="16"/>
                <w:szCs w:val="16"/>
                <w:u w:val="single"/>
              </w:rPr>
            </w:pPr>
            <w:hyperlink r:id="rId11" w:history="1">
              <w:r w:rsidRPr="000D00D5">
                <w:rPr>
                  <w:rStyle w:val="Hipervnculo"/>
                  <w:rFonts w:ascii="Arial" w:hAnsi="Arial" w:cs="Arial"/>
                  <w:sz w:val="16"/>
                  <w:szCs w:val="16"/>
                </w:rPr>
                <w:t>gala.diaz@manpowergroup.es</w:t>
              </w:r>
            </w:hyperlink>
          </w:p>
          <w:p w14:paraId="4A385B40" w14:textId="77777777" w:rsidR="00B72312" w:rsidRDefault="00B72312" w:rsidP="000B5A95">
            <w:pPr>
              <w:jc w:val="both"/>
              <w:rPr>
                <w:rFonts w:ascii="Arial" w:hAnsi="Arial" w:cs="Arial"/>
                <w:sz w:val="16"/>
                <w:szCs w:val="16"/>
              </w:rPr>
            </w:pPr>
          </w:p>
          <w:p w14:paraId="6F118C73" w14:textId="77777777" w:rsidR="00B72312" w:rsidRPr="00761D60" w:rsidRDefault="00B72312" w:rsidP="000B5A95">
            <w:pPr>
              <w:jc w:val="both"/>
              <w:rPr>
                <w:rFonts w:ascii="Arial" w:hAnsi="Arial" w:cs="Arial"/>
                <w:sz w:val="16"/>
                <w:szCs w:val="16"/>
              </w:rPr>
            </w:pPr>
            <w:r w:rsidRPr="00761D60">
              <w:rPr>
                <w:rFonts w:ascii="Arial" w:hAnsi="Arial" w:cs="Arial"/>
                <w:sz w:val="16"/>
                <w:szCs w:val="16"/>
              </w:rPr>
              <w:t>Juan Gómez Rodríguez</w:t>
            </w:r>
          </w:p>
          <w:p w14:paraId="0F460EB1" w14:textId="77777777" w:rsidR="00B72312" w:rsidRPr="00F51FFC" w:rsidRDefault="00B72312" w:rsidP="000B5A95">
            <w:pPr>
              <w:jc w:val="both"/>
              <w:rPr>
                <w:rFonts w:ascii="Arial" w:hAnsi="Arial" w:cs="Arial"/>
                <w:sz w:val="16"/>
                <w:szCs w:val="16"/>
                <w:lang w:val="de-DE"/>
              </w:rPr>
            </w:pPr>
            <w:r w:rsidRPr="00F51FFC">
              <w:rPr>
                <w:rFonts w:ascii="Arial" w:hAnsi="Arial" w:cs="Arial"/>
                <w:sz w:val="16"/>
                <w:szCs w:val="16"/>
                <w:lang w:val="de-DE"/>
              </w:rPr>
              <w:t>Tel. 687 51 96 90</w:t>
            </w:r>
          </w:p>
          <w:p w14:paraId="0DAE59F8" w14:textId="77777777" w:rsidR="00B72312" w:rsidRPr="00F51FFC" w:rsidRDefault="00B72312" w:rsidP="000B5A95">
            <w:pPr>
              <w:jc w:val="both"/>
              <w:rPr>
                <w:rFonts w:ascii="Arial" w:hAnsi="Arial" w:cs="Arial"/>
                <w:sz w:val="16"/>
                <w:szCs w:val="16"/>
                <w:lang w:val="de-DE"/>
              </w:rPr>
            </w:pPr>
            <w:hyperlink r:id="rId12" w:history="1">
              <w:r w:rsidRPr="00F51FFC">
                <w:rPr>
                  <w:rStyle w:val="Hipervnculo"/>
                  <w:rFonts w:ascii="Arial" w:hAnsi="Arial" w:cs="Arial"/>
                  <w:sz w:val="16"/>
                  <w:szCs w:val="16"/>
                  <w:lang w:val="de-DE"/>
                </w:rPr>
                <w:t>juan.gomez@manpowergroup.es</w:t>
              </w:r>
            </w:hyperlink>
          </w:p>
        </w:tc>
      </w:tr>
    </w:tbl>
    <w:p w14:paraId="5921FC59" w14:textId="66D86932" w:rsidR="00A93B6A" w:rsidRDefault="00A93B6A" w:rsidP="00271614">
      <w:pPr>
        <w:spacing w:before="120" w:line="288" w:lineRule="auto"/>
        <w:jc w:val="center"/>
        <w:rPr>
          <w:rFonts w:ascii="Arial" w:eastAsia="Arial" w:hAnsi="Arial" w:cs="Arial"/>
          <w:b/>
          <w:sz w:val="20"/>
          <w:szCs w:val="20"/>
        </w:rPr>
      </w:pPr>
    </w:p>
    <w:bookmarkEnd w:id="1"/>
    <w:bookmarkEnd w:id="2"/>
    <w:bookmarkEnd w:id="3"/>
    <w:bookmarkEnd w:id="4"/>
    <w:p w14:paraId="53597E93" w14:textId="4EA88F31" w:rsidR="002E1864" w:rsidRPr="00890CD3" w:rsidRDefault="002E1864" w:rsidP="00CC4055">
      <w:pPr>
        <w:spacing w:before="120" w:line="288" w:lineRule="auto"/>
        <w:rPr>
          <w:rFonts w:ascii="Arial" w:eastAsia="Arial" w:hAnsi="Arial" w:cs="Arial"/>
          <w:b/>
          <w:sz w:val="20"/>
          <w:szCs w:val="20"/>
        </w:rPr>
      </w:pPr>
    </w:p>
    <w:sectPr w:rsidR="002E1864" w:rsidRPr="00890CD3" w:rsidSect="006A2051">
      <w:headerReference w:type="default" r:id="rId13"/>
      <w:footerReference w:type="even" r:id="rId14"/>
      <w:footerReference w:type="default" r:id="rId15"/>
      <w:pgSz w:w="11907" w:h="16840" w:code="9"/>
      <w:pgMar w:top="1985" w:right="1418" w:bottom="1701" w:left="1418"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47183" w14:textId="77777777" w:rsidR="00DD562A" w:rsidRDefault="00DD562A">
      <w:r>
        <w:separator/>
      </w:r>
    </w:p>
  </w:endnote>
  <w:endnote w:type="continuationSeparator" w:id="0">
    <w:p w14:paraId="34EE5B66" w14:textId="77777777" w:rsidR="00DD562A" w:rsidRDefault="00DD5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2012" w14:textId="0A177C38" w:rsidR="00FB1381" w:rsidRDefault="00346E05" w:rsidP="00F01B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15B32">
      <w:rPr>
        <w:rStyle w:val="Nmerodepgina"/>
        <w:noProof/>
      </w:rPr>
      <w:t>2</w:t>
    </w:r>
    <w:r>
      <w:rPr>
        <w:rStyle w:val="Nmerodepgina"/>
      </w:rPr>
      <w:fldChar w:fldCharType="end"/>
    </w:r>
  </w:p>
  <w:p w14:paraId="15552DA8" w14:textId="77777777" w:rsidR="00FB1381" w:rsidRDefault="00FB1381" w:rsidP="003E26F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A3F9" w14:textId="77777777" w:rsidR="006A2051" w:rsidRDefault="006A2051" w:rsidP="006A2051">
    <w:pPr>
      <w:pStyle w:val="Piedepgina"/>
      <w:ind w:right="360"/>
    </w:pPr>
  </w:p>
  <w:p w14:paraId="23873518" w14:textId="1FDA2006" w:rsidR="00FB1381" w:rsidRDefault="006A2051" w:rsidP="006A2051">
    <w:pPr>
      <w:pStyle w:val="Piedepgina"/>
      <w:jc w:val="center"/>
    </w:pPr>
    <w:bookmarkStart w:id="11" w:name="_Hlk198035490"/>
    <w:bookmarkStart w:id="12" w:name="_Hlk198035491"/>
    <w:bookmarkStart w:id="13" w:name="_Hlk216197226"/>
    <w:bookmarkStart w:id="14" w:name="_Hlk216197227"/>
    <w:bookmarkStart w:id="15" w:name="_Hlk216197230"/>
    <w:bookmarkStart w:id="16" w:name="_Hlk216197231"/>
    <w:r>
      <w:rPr>
        <w:noProof/>
      </w:rPr>
      <w:drawing>
        <wp:inline distT="0" distB="0" distL="0" distR="0" wp14:anchorId="34E708A4" wp14:editId="1E433E57">
          <wp:extent cx="4493260" cy="734455"/>
          <wp:effectExtent l="0" t="0" r="2540" b="0"/>
          <wp:docPr id="204055499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54999" name="Imagen 1" descr="Interfaz de usuario gráfica, Aplicaci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4186" cy="736241"/>
                  </a:xfrm>
                  <a:prstGeom prst="rect">
                    <a:avLst/>
                  </a:prstGeom>
                  <a:noFill/>
                </pic:spPr>
              </pic:pic>
            </a:graphicData>
          </a:graphic>
        </wp:inline>
      </w:drawing>
    </w:r>
    <w:bookmarkEnd w:id="11"/>
    <w:bookmarkEnd w:id="12"/>
    <w:bookmarkEnd w:id="13"/>
    <w:bookmarkEnd w:id="14"/>
    <w:bookmarkEnd w:id="15"/>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B791" w14:textId="77777777" w:rsidR="00DD562A" w:rsidRDefault="00DD562A">
      <w:r>
        <w:separator/>
      </w:r>
    </w:p>
  </w:footnote>
  <w:footnote w:type="continuationSeparator" w:id="0">
    <w:p w14:paraId="630985D7" w14:textId="77777777" w:rsidR="00DD562A" w:rsidRDefault="00DD5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68A9" w14:textId="12BA7019" w:rsidR="006A2051" w:rsidRDefault="006A2051" w:rsidP="00F34829">
    <w:pPr>
      <w:pStyle w:val="Encabezado"/>
      <w:rPr>
        <w:rFonts w:ascii="Verdana" w:hAnsi="Verdana"/>
        <w:noProof/>
        <w:color w:val="616161"/>
        <w:sz w:val="14"/>
        <w:szCs w:val="14"/>
      </w:rPr>
    </w:pPr>
    <w:bookmarkStart w:id="7" w:name="_Hlk216197163"/>
    <w:bookmarkStart w:id="8" w:name="_Hlk216197164"/>
    <w:bookmarkStart w:id="9" w:name="_Hlk216197174"/>
    <w:bookmarkStart w:id="10" w:name="_Hlk216197175"/>
    <w:r>
      <w:rPr>
        <w:noProof/>
      </w:rPr>
      <w:drawing>
        <wp:anchor distT="0" distB="0" distL="114300" distR="114300" simplePos="0" relativeHeight="251659264" behindDoc="0" locked="0" layoutInCell="1" allowOverlap="1" wp14:anchorId="311DCD64" wp14:editId="32674B57">
          <wp:simplePos x="0" y="0"/>
          <wp:positionH relativeFrom="margin">
            <wp:align>right</wp:align>
          </wp:positionH>
          <wp:positionV relativeFrom="paragraph">
            <wp:posOffset>3810</wp:posOffset>
          </wp:positionV>
          <wp:extent cx="1234440" cy="666750"/>
          <wp:effectExtent l="0" t="0" r="3810" b="0"/>
          <wp:wrapSquare wrapText="bothSides"/>
          <wp:docPr id="3" name="Imagen 3" descr="inc_standard_stack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c_standard_stacked_rgb"/>
                  <pic:cNvPicPr>
                    <a:picLocks noChangeAspect="1" noChangeArrowheads="1"/>
                  </pic:cNvPicPr>
                </pic:nvPicPr>
                <pic:blipFill>
                  <a:blip r:embed="rId1"/>
                  <a:srcRect/>
                  <a:stretch>
                    <a:fillRect/>
                  </a:stretch>
                </pic:blipFill>
                <pic:spPr bwMode="auto">
                  <a:xfrm>
                    <a:off x="0" y="0"/>
                    <a:ext cx="1234440" cy="666750"/>
                  </a:xfrm>
                  <a:prstGeom prst="rect">
                    <a:avLst/>
                  </a:prstGeom>
                  <a:noFill/>
                </pic:spPr>
              </pic:pic>
            </a:graphicData>
          </a:graphic>
        </wp:anchor>
      </w:drawing>
    </w:r>
    <w:r w:rsidR="009C6E19" w:rsidRPr="009C6E19">
      <w:rPr>
        <w:rFonts w:ascii="Verdana" w:hAnsi="Verdana"/>
        <w:noProof/>
        <w:color w:val="616161"/>
        <w:sz w:val="14"/>
        <w:szCs w:val="14"/>
      </w:rPr>
      <w:drawing>
        <wp:inline distT="0" distB="0" distL="0" distR="0" wp14:anchorId="111AF847" wp14:editId="46A165F5">
          <wp:extent cx="1276350" cy="645024"/>
          <wp:effectExtent l="0" t="0" r="0" b="0"/>
          <wp:docPr id="9" name="Imagen 8" descr="Imagen que contiene interior, computer, computadora, tabla&#10;&#10;El contenido generado por IA puede ser incorrecto.">
            <a:extLst xmlns:a="http://schemas.openxmlformats.org/drawingml/2006/main">
              <a:ext uri="{FF2B5EF4-FFF2-40B4-BE49-F238E27FC236}">
                <a16:creationId xmlns:a16="http://schemas.microsoft.com/office/drawing/2014/main" id="{C519F803-7F59-48E3-ADDB-CB9C21B32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interior, computer, computadora, tabla&#10;&#10;El contenido generado por IA puede ser incorrecto.">
                    <a:extLst>
                      <a:ext uri="{FF2B5EF4-FFF2-40B4-BE49-F238E27FC236}">
                        <a16:creationId xmlns:a16="http://schemas.microsoft.com/office/drawing/2014/main" id="{C519F803-7F59-48E3-ADDB-CB9C21B32890}"/>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284794" cy="649291"/>
                  </a:xfrm>
                  <a:prstGeom prst="rect">
                    <a:avLst/>
                  </a:prstGeom>
                </pic:spPr>
              </pic:pic>
            </a:graphicData>
          </a:graphic>
        </wp:inline>
      </w:drawing>
    </w:r>
  </w:p>
  <w:p w14:paraId="609D24D9" w14:textId="77777777" w:rsidR="006A2051" w:rsidRDefault="006A2051" w:rsidP="00F34829">
    <w:pPr>
      <w:pStyle w:val="Encabezado"/>
      <w:rPr>
        <w:rFonts w:ascii="Verdana" w:hAnsi="Verdana"/>
        <w:noProof/>
        <w:color w:val="616161"/>
        <w:sz w:val="14"/>
        <w:szCs w:val="14"/>
      </w:rPr>
    </w:pPr>
  </w:p>
  <w:p w14:paraId="477BC6CD" w14:textId="77777777" w:rsidR="006A2051" w:rsidRDefault="006A2051" w:rsidP="00F34829">
    <w:pPr>
      <w:pStyle w:val="Encabezado"/>
      <w:rPr>
        <w:rFonts w:ascii="Verdana" w:hAnsi="Verdana"/>
        <w:noProof/>
        <w:color w:val="616161"/>
        <w:sz w:val="14"/>
        <w:szCs w:val="14"/>
      </w:rPr>
    </w:pPr>
  </w:p>
  <w:bookmarkEnd w:id="7"/>
  <w:bookmarkEnd w:id="8"/>
  <w:bookmarkEnd w:id="9"/>
  <w:bookmarkEnd w:id="10"/>
  <w:p w14:paraId="054F2965" w14:textId="1823066E" w:rsidR="00FB1381" w:rsidRDefault="00FB1381" w:rsidP="00F34829">
    <w:pPr>
      <w:pStyle w:val="Encabezado"/>
      <w:rPr>
        <w:rFonts w:ascii="Verdana" w:hAnsi="Verdana"/>
        <w:noProof/>
        <w:color w:val="616161"/>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5978"/>
    <w:multiLevelType w:val="hybridMultilevel"/>
    <w:tmpl w:val="546633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5095A4B"/>
    <w:multiLevelType w:val="hybridMultilevel"/>
    <w:tmpl w:val="67B61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5139DA"/>
    <w:multiLevelType w:val="multilevel"/>
    <w:tmpl w:val="1B66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E1CB6"/>
    <w:multiLevelType w:val="hybridMultilevel"/>
    <w:tmpl w:val="4746DF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3D967AF"/>
    <w:multiLevelType w:val="hybridMultilevel"/>
    <w:tmpl w:val="0764FA5E"/>
    <w:lvl w:ilvl="0" w:tplc="160E84D8">
      <w:start w:val="6"/>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673344"/>
    <w:multiLevelType w:val="hybridMultilevel"/>
    <w:tmpl w:val="D04EB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B16124"/>
    <w:multiLevelType w:val="hybridMultilevel"/>
    <w:tmpl w:val="EBE2B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B325BE6"/>
    <w:multiLevelType w:val="hybridMultilevel"/>
    <w:tmpl w:val="FFFFFFFF"/>
    <w:lvl w:ilvl="0" w:tplc="942CD6F0">
      <w:start w:val="1"/>
      <w:numFmt w:val="bullet"/>
      <w:lvlText w:val=""/>
      <w:lvlJc w:val="left"/>
      <w:pPr>
        <w:ind w:left="1080" w:hanging="360"/>
      </w:pPr>
      <w:rPr>
        <w:rFonts w:ascii="Symbol" w:hAnsi="Symbol" w:hint="default"/>
      </w:rPr>
    </w:lvl>
    <w:lvl w:ilvl="1" w:tplc="342247BC">
      <w:start w:val="1"/>
      <w:numFmt w:val="bullet"/>
      <w:lvlText w:val="o"/>
      <w:lvlJc w:val="left"/>
      <w:pPr>
        <w:ind w:left="1800" w:hanging="360"/>
      </w:pPr>
      <w:rPr>
        <w:rFonts w:ascii="Courier New" w:hAnsi="Courier New" w:hint="default"/>
      </w:rPr>
    </w:lvl>
    <w:lvl w:ilvl="2" w:tplc="80328BA4">
      <w:start w:val="1"/>
      <w:numFmt w:val="bullet"/>
      <w:lvlText w:val=""/>
      <w:lvlJc w:val="left"/>
      <w:pPr>
        <w:ind w:left="2520" w:hanging="360"/>
      </w:pPr>
      <w:rPr>
        <w:rFonts w:ascii="Wingdings" w:hAnsi="Wingdings" w:hint="default"/>
      </w:rPr>
    </w:lvl>
    <w:lvl w:ilvl="3" w:tplc="A2BC7A2E">
      <w:start w:val="1"/>
      <w:numFmt w:val="bullet"/>
      <w:lvlText w:val=""/>
      <w:lvlJc w:val="left"/>
      <w:pPr>
        <w:ind w:left="3240" w:hanging="360"/>
      </w:pPr>
      <w:rPr>
        <w:rFonts w:ascii="Symbol" w:hAnsi="Symbol" w:hint="default"/>
      </w:rPr>
    </w:lvl>
    <w:lvl w:ilvl="4" w:tplc="BD5CFF32">
      <w:start w:val="1"/>
      <w:numFmt w:val="bullet"/>
      <w:lvlText w:val="o"/>
      <w:lvlJc w:val="left"/>
      <w:pPr>
        <w:ind w:left="3960" w:hanging="360"/>
      </w:pPr>
      <w:rPr>
        <w:rFonts w:ascii="Courier New" w:hAnsi="Courier New" w:hint="default"/>
      </w:rPr>
    </w:lvl>
    <w:lvl w:ilvl="5" w:tplc="DF8815AA">
      <w:start w:val="1"/>
      <w:numFmt w:val="bullet"/>
      <w:lvlText w:val=""/>
      <w:lvlJc w:val="left"/>
      <w:pPr>
        <w:ind w:left="4680" w:hanging="360"/>
      </w:pPr>
      <w:rPr>
        <w:rFonts w:ascii="Wingdings" w:hAnsi="Wingdings" w:hint="default"/>
      </w:rPr>
    </w:lvl>
    <w:lvl w:ilvl="6" w:tplc="9670EC9C">
      <w:start w:val="1"/>
      <w:numFmt w:val="bullet"/>
      <w:lvlText w:val=""/>
      <w:lvlJc w:val="left"/>
      <w:pPr>
        <w:ind w:left="5400" w:hanging="360"/>
      </w:pPr>
      <w:rPr>
        <w:rFonts w:ascii="Symbol" w:hAnsi="Symbol" w:hint="default"/>
      </w:rPr>
    </w:lvl>
    <w:lvl w:ilvl="7" w:tplc="E33AC33A">
      <w:start w:val="1"/>
      <w:numFmt w:val="bullet"/>
      <w:lvlText w:val="o"/>
      <w:lvlJc w:val="left"/>
      <w:pPr>
        <w:ind w:left="6120" w:hanging="360"/>
      </w:pPr>
      <w:rPr>
        <w:rFonts w:ascii="Courier New" w:hAnsi="Courier New" w:hint="default"/>
      </w:rPr>
    </w:lvl>
    <w:lvl w:ilvl="8" w:tplc="0602FD5C">
      <w:start w:val="1"/>
      <w:numFmt w:val="bullet"/>
      <w:lvlText w:val=""/>
      <w:lvlJc w:val="left"/>
      <w:pPr>
        <w:ind w:left="6840" w:hanging="360"/>
      </w:pPr>
      <w:rPr>
        <w:rFonts w:ascii="Wingdings" w:hAnsi="Wingdings" w:hint="default"/>
      </w:rPr>
    </w:lvl>
  </w:abstractNum>
  <w:abstractNum w:abstractNumId="8" w15:restartNumberingAfterBreak="0">
    <w:nsid w:val="66C97E4C"/>
    <w:multiLevelType w:val="hybridMultilevel"/>
    <w:tmpl w:val="EDE8966A"/>
    <w:lvl w:ilvl="0" w:tplc="F4A4D594">
      <w:start w:val="1"/>
      <w:numFmt w:val="bullet"/>
      <w:lvlText w:val="•"/>
      <w:lvlJc w:val="left"/>
      <w:pPr>
        <w:tabs>
          <w:tab w:val="num" w:pos="720"/>
        </w:tabs>
        <w:ind w:left="720" w:hanging="360"/>
      </w:pPr>
      <w:rPr>
        <w:rFonts w:ascii="Arial" w:hAnsi="Arial" w:hint="default"/>
      </w:rPr>
    </w:lvl>
    <w:lvl w:ilvl="1" w:tplc="0D70D224" w:tentative="1">
      <w:start w:val="1"/>
      <w:numFmt w:val="bullet"/>
      <w:lvlText w:val="•"/>
      <w:lvlJc w:val="left"/>
      <w:pPr>
        <w:tabs>
          <w:tab w:val="num" w:pos="1440"/>
        </w:tabs>
        <w:ind w:left="1440" w:hanging="360"/>
      </w:pPr>
      <w:rPr>
        <w:rFonts w:ascii="Arial" w:hAnsi="Arial" w:hint="default"/>
      </w:rPr>
    </w:lvl>
    <w:lvl w:ilvl="2" w:tplc="6B6A35D2" w:tentative="1">
      <w:start w:val="1"/>
      <w:numFmt w:val="bullet"/>
      <w:lvlText w:val="•"/>
      <w:lvlJc w:val="left"/>
      <w:pPr>
        <w:tabs>
          <w:tab w:val="num" w:pos="2160"/>
        </w:tabs>
        <w:ind w:left="2160" w:hanging="360"/>
      </w:pPr>
      <w:rPr>
        <w:rFonts w:ascii="Arial" w:hAnsi="Arial" w:hint="default"/>
      </w:rPr>
    </w:lvl>
    <w:lvl w:ilvl="3" w:tplc="2BC0E038" w:tentative="1">
      <w:start w:val="1"/>
      <w:numFmt w:val="bullet"/>
      <w:lvlText w:val="•"/>
      <w:lvlJc w:val="left"/>
      <w:pPr>
        <w:tabs>
          <w:tab w:val="num" w:pos="2880"/>
        </w:tabs>
        <w:ind w:left="2880" w:hanging="360"/>
      </w:pPr>
      <w:rPr>
        <w:rFonts w:ascii="Arial" w:hAnsi="Arial" w:hint="default"/>
      </w:rPr>
    </w:lvl>
    <w:lvl w:ilvl="4" w:tplc="64E4E368" w:tentative="1">
      <w:start w:val="1"/>
      <w:numFmt w:val="bullet"/>
      <w:lvlText w:val="•"/>
      <w:lvlJc w:val="left"/>
      <w:pPr>
        <w:tabs>
          <w:tab w:val="num" w:pos="3600"/>
        </w:tabs>
        <w:ind w:left="3600" w:hanging="360"/>
      </w:pPr>
      <w:rPr>
        <w:rFonts w:ascii="Arial" w:hAnsi="Arial" w:hint="default"/>
      </w:rPr>
    </w:lvl>
    <w:lvl w:ilvl="5" w:tplc="901CFF92" w:tentative="1">
      <w:start w:val="1"/>
      <w:numFmt w:val="bullet"/>
      <w:lvlText w:val="•"/>
      <w:lvlJc w:val="left"/>
      <w:pPr>
        <w:tabs>
          <w:tab w:val="num" w:pos="4320"/>
        </w:tabs>
        <w:ind w:left="4320" w:hanging="360"/>
      </w:pPr>
      <w:rPr>
        <w:rFonts w:ascii="Arial" w:hAnsi="Arial" w:hint="default"/>
      </w:rPr>
    </w:lvl>
    <w:lvl w:ilvl="6" w:tplc="13F62D06" w:tentative="1">
      <w:start w:val="1"/>
      <w:numFmt w:val="bullet"/>
      <w:lvlText w:val="•"/>
      <w:lvlJc w:val="left"/>
      <w:pPr>
        <w:tabs>
          <w:tab w:val="num" w:pos="5040"/>
        </w:tabs>
        <w:ind w:left="5040" w:hanging="360"/>
      </w:pPr>
      <w:rPr>
        <w:rFonts w:ascii="Arial" w:hAnsi="Arial" w:hint="default"/>
      </w:rPr>
    </w:lvl>
    <w:lvl w:ilvl="7" w:tplc="B52E3C72" w:tentative="1">
      <w:start w:val="1"/>
      <w:numFmt w:val="bullet"/>
      <w:lvlText w:val="•"/>
      <w:lvlJc w:val="left"/>
      <w:pPr>
        <w:tabs>
          <w:tab w:val="num" w:pos="5760"/>
        </w:tabs>
        <w:ind w:left="5760" w:hanging="360"/>
      </w:pPr>
      <w:rPr>
        <w:rFonts w:ascii="Arial" w:hAnsi="Arial" w:hint="default"/>
      </w:rPr>
    </w:lvl>
    <w:lvl w:ilvl="8" w:tplc="6F9C139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B373D7B"/>
    <w:multiLevelType w:val="hybridMultilevel"/>
    <w:tmpl w:val="0136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806777">
    <w:abstractNumId w:val="4"/>
  </w:num>
  <w:num w:numId="2" w16cid:durableId="1342783302">
    <w:abstractNumId w:val="7"/>
  </w:num>
  <w:num w:numId="3" w16cid:durableId="305208792">
    <w:abstractNumId w:val="6"/>
  </w:num>
  <w:num w:numId="4" w16cid:durableId="126244196">
    <w:abstractNumId w:val="5"/>
  </w:num>
  <w:num w:numId="5" w16cid:durableId="1245341768">
    <w:abstractNumId w:val="9"/>
  </w:num>
  <w:num w:numId="6" w16cid:durableId="597829097">
    <w:abstractNumId w:val="8"/>
  </w:num>
  <w:num w:numId="7" w16cid:durableId="2127692794">
    <w:abstractNumId w:val="2"/>
  </w:num>
  <w:num w:numId="8" w16cid:durableId="2060670331">
    <w:abstractNumId w:val="3"/>
  </w:num>
  <w:num w:numId="9" w16cid:durableId="667563418">
    <w:abstractNumId w:val="1"/>
  </w:num>
  <w:num w:numId="10" w16cid:durableId="1740133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76"/>
    <w:rsid w:val="00006233"/>
    <w:rsid w:val="000068C6"/>
    <w:rsid w:val="000074CA"/>
    <w:rsid w:val="000101F6"/>
    <w:rsid w:val="000122ED"/>
    <w:rsid w:val="0001254E"/>
    <w:rsid w:val="000166E0"/>
    <w:rsid w:val="00017815"/>
    <w:rsid w:val="000207C8"/>
    <w:rsid w:val="000258CF"/>
    <w:rsid w:val="00027080"/>
    <w:rsid w:val="00030253"/>
    <w:rsid w:val="00030508"/>
    <w:rsid w:val="000310B8"/>
    <w:rsid w:val="0003516C"/>
    <w:rsid w:val="0004003B"/>
    <w:rsid w:val="00042488"/>
    <w:rsid w:val="00043926"/>
    <w:rsid w:val="00047806"/>
    <w:rsid w:val="000507C4"/>
    <w:rsid w:val="00063579"/>
    <w:rsid w:val="00065781"/>
    <w:rsid w:val="00066C14"/>
    <w:rsid w:val="00071876"/>
    <w:rsid w:val="000752A6"/>
    <w:rsid w:val="0008054F"/>
    <w:rsid w:val="000869A2"/>
    <w:rsid w:val="00090345"/>
    <w:rsid w:val="000915ED"/>
    <w:rsid w:val="00092740"/>
    <w:rsid w:val="000932BC"/>
    <w:rsid w:val="000A1973"/>
    <w:rsid w:val="000A1EBF"/>
    <w:rsid w:val="000A1F63"/>
    <w:rsid w:val="000A3669"/>
    <w:rsid w:val="000A5406"/>
    <w:rsid w:val="000A7606"/>
    <w:rsid w:val="000A7DFE"/>
    <w:rsid w:val="000C12D2"/>
    <w:rsid w:val="000C1F4F"/>
    <w:rsid w:val="000C326C"/>
    <w:rsid w:val="000C3987"/>
    <w:rsid w:val="000C41F9"/>
    <w:rsid w:val="000D00D5"/>
    <w:rsid w:val="000D2B5A"/>
    <w:rsid w:val="000D573A"/>
    <w:rsid w:val="000D6AB6"/>
    <w:rsid w:val="000E191A"/>
    <w:rsid w:val="000E447E"/>
    <w:rsid w:val="000F11D7"/>
    <w:rsid w:val="000F269C"/>
    <w:rsid w:val="000F428E"/>
    <w:rsid w:val="000F4634"/>
    <w:rsid w:val="00103F84"/>
    <w:rsid w:val="0011607A"/>
    <w:rsid w:val="0012170F"/>
    <w:rsid w:val="00124DEA"/>
    <w:rsid w:val="00131287"/>
    <w:rsid w:val="001319E5"/>
    <w:rsid w:val="001324E2"/>
    <w:rsid w:val="00132EA5"/>
    <w:rsid w:val="00143F63"/>
    <w:rsid w:val="001442A6"/>
    <w:rsid w:val="001463C1"/>
    <w:rsid w:val="00147F82"/>
    <w:rsid w:val="00153505"/>
    <w:rsid w:val="00154F3A"/>
    <w:rsid w:val="0015531B"/>
    <w:rsid w:val="00156E14"/>
    <w:rsid w:val="00166FA8"/>
    <w:rsid w:val="00171AAA"/>
    <w:rsid w:val="00171C34"/>
    <w:rsid w:val="001740C7"/>
    <w:rsid w:val="00175E3F"/>
    <w:rsid w:val="00177CB8"/>
    <w:rsid w:val="00181155"/>
    <w:rsid w:val="00181BBB"/>
    <w:rsid w:val="00187625"/>
    <w:rsid w:val="00190E3D"/>
    <w:rsid w:val="00195CAB"/>
    <w:rsid w:val="001A2A76"/>
    <w:rsid w:val="001A332D"/>
    <w:rsid w:val="001A60DD"/>
    <w:rsid w:val="001A645B"/>
    <w:rsid w:val="001A645F"/>
    <w:rsid w:val="001B39AD"/>
    <w:rsid w:val="001C10B4"/>
    <w:rsid w:val="001C702D"/>
    <w:rsid w:val="001D5BD3"/>
    <w:rsid w:val="001E24E8"/>
    <w:rsid w:val="001E6322"/>
    <w:rsid w:val="001E7292"/>
    <w:rsid w:val="001F3A45"/>
    <w:rsid w:val="001F3E41"/>
    <w:rsid w:val="001F7ADD"/>
    <w:rsid w:val="00204B99"/>
    <w:rsid w:val="00204E64"/>
    <w:rsid w:val="002059D2"/>
    <w:rsid w:val="00205D68"/>
    <w:rsid w:val="0021069A"/>
    <w:rsid w:val="00212129"/>
    <w:rsid w:val="002246BA"/>
    <w:rsid w:val="00224DE1"/>
    <w:rsid w:val="00231877"/>
    <w:rsid w:val="002331A8"/>
    <w:rsid w:val="00235658"/>
    <w:rsid w:val="0024317A"/>
    <w:rsid w:val="00252A0D"/>
    <w:rsid w:val="00261409"/>
    <w:rsid w:val="00264632"/>
    <w:rsid w:val="00271614"/>
    <w:rsid w:val="00274A5D"/>
    <w:rsid w:val="0027680B"/>
    <w:rsid w:val="00281944"/>
    <w:rsid w:val="0029204E"/>
    <w:rsid w:val="00294475"/>
    <w:rsid w:val="002A2DD5"/>
    <w:rsid w:val="002A3D92"/>
    <w:rsid w:val="002A78A1"/>
    <w:rsid w:val="002B3F52"/>
    <w:rsid w:val="002C01E7"/>
    <w:rsid w:val="002C02D9"/>
    <w:rsid w:val="002D032D"/>
    <w:rsid w:val="002E1864"/>
    <w:rsid w:val="002E285C"/>
    <w:rsid w:val="002E2F04"/>
    <w:rsid w:val="002E4A5C"/>
    <w:rsid w:val="002E5E6F"/>
    <w:rsid w:val="002F2E0A"/>
    <w:rsid w:val="002F4816"/>
    <w:rsid w:val="003006FC"/>
    <w:rsid w:val="003019C9"/>
    <w:rsid w:val="003108C5"/>
    <w:rsid w:val="00310DC4"/>
    <w:rsid w:val="0031490C"/>
    <w:rsid w:val="00321F4F"/>
    <w:rsid w:val="0032424C"/>
    <w:rsid w:val="00326089"/>
    <w:rsid w:val="00326125"/>
    <w:rsid w:val="00326FC2"/>
    <w:rsid w:val="00331310"/>
    <w:rsid w:val="00332D02"/>
    <w:rsid w:val="00336187"/>
    <w:rsid w:val="00337FD2"/>
    <w:rsid w:val="00344595"/>
    <w:rsid w:val="00346E05"/>
    <w:rsid w:val="003470C8"/>
    <w:rsid w:val="003509A5"/>
    <w:rsid w:val="0035552B"/>
    <w:rsid w:val="0036538C"/>
    <w:rsid w:val="003657F6"/>
    <w:rsid w:val="003745AA"/>
    <w:rsid w:val="00380B8C"/>
    <w:rsid w:val="003837E6"/>
    <w:rsid w:val="00383F58"/>
    <w:rsid w:val="00385217"/>
    <w:rsid w:val="00390D3C"/>
    <w:rsid w:val="003A1B09"/>
    <w:rsid w:val="003A214F"/>
    <w:rsid w:val="003A2B29"/>
    <w:rsid w:val="003A49AD"/>
    <w:rsid w:val="003A5A50"/>
    <w:rsid w:val="003A6138"/>
    <w:rsid w:val="003B07C9"/>
    <w:rsid w:val="003C2224"/>
    <w:rsid w:val="003C61D6"/>
    <w:rsid w:val="003C6EC8"/>
    <w:rsid w:val="003D0E85"/>
    <w:rsid w:val="003D4F9E"/>
    <w:rsid w:val="003D6B89"/>
    <w:rsid w:val="003E371D"/>
    <w:rsid w:val="003F1121"/>
    <w:rsid w:val="00401989"/>
    <w:rsid w:val="00407AD8"/>
    <w:rsid w:val="0041325B"/>
    <w:rsid w:val="00413BA3"/>
    <w:rsid w:val="00415A6A"/>
    <w:rsid w:val="00416931"/>
    <w:rsid w:val="00424DEC"/>
    <w:rsid w:val="00425DEE"/>
    <w:rsid w:val="0043086E"/>
    <w:rsid w:val="0044035B"/>
    <w:rsid w:val="00441AA5"/>
    <w:rsid w:val="00443A21"/>
    <w:rsid w:val="00456993"/>
    <w:rsid w:val="004612C2"/>
    <w:rsid w:val="00464EA3"/>
    <w:rsid w:val="00475A4A"/>
    <w:rsid w:val="00485852"/>
    <w:rsid w:val="00485E70"/>
    <w:rsid w:val="00493CFD"/>
    <w:rsid w:val="004958BB"/>
    <w:rsid w:val="00497689"/>
    <w:rsid w:val="004A4DEB"/>
    <w:rsid w:val="004B5032"/>
    <w:rsid w:val="004C0F40"/>
    <w:rsid w:val="004C607E"/>
    <w:rsid w:val="004C62C0"/>
    <w:rsid w:val="004C6DBC"/>
    <w:rsid w:val="004C7FBD"/>
    <w:rsid w:val="004D1FAF"/>
    <w:rsid w:val="004D4711"/>
    <w:rsid w:val="004D5F53"/>
    <w:rsid w:val="004E23C4"/>
    <w:rsid w:val="004E2530"/>
    <w:rsid w:val="004F67EC"/>
    <w:rsid w:val="004F7AE3"/>
    <w:rsid w:val="00511519"/>
    <w:rsid w:val="00512001"/>
    <w:rsid w:val="00514004"/>
    <w:rsid w:val="005201CA"/>
    <w:rsid w:val="005229BB"/>
    <w:rsid w:val="00525188"/>
    <w:rsid w:val="00530474"/>
    <w:rsid w:val="00533536"/>
    <w:rsid w:val="00533EC8"/>
    <w:rsid w:val="00541A7B"/>
    <w:rsid w:val="00543126"/>
    <w:rsid w:val="005443A1"/>
    <w:rsid w:val="00546498"/>
    <w:rsid w:val="00547D42"/>
    <w:rsid w:val="005602DF"/>
    <w:rsid w:val="00561B53"/>
    <w:rsid w:val="005630A5"/>
    <w:rsid w:val="00576DDF"/>
    <w:rsid w:val="00577B92"/>
    <w:rsid w:val="0058531F"/>
    <w:rsid w:val="00590192"/>
    <w:rsid w:val="0059060D"/>
    <w:rsid w:val="005A7DB1"/>
    <w:rsid w:val="005A7E9C"/>
    <w:rsid w:val="005B2218"/>
    <w:rsid w:val="005B5B40"/>
    <w:rsid w:val="005B7CDC"/>
    <w:rsid w:val="005C33ED"/>
    <w:rsid w:val="005C4439"/>
    <w:rsid w:val="005D1AE9"/>
    <w:rsid w:val="005D5DC2"/>
    <w:rsid w:val="005E0E99"/>
    <w:rsid w:val="005E1842"/>
    <w:rsid w:val="005E4173"/>
    <w:rsid w:val="005F1B79"/>
    <w:rsid w:val="005F1CEB"/>
    <w:rsid w:val="005F3998"/>
    <w:rsid w:val="00600F24"/>
    <w:rsid w:val="0060110C"/>
    <w:rsid w:val="00610958"/>
    <w:rsid w:val="00617DAE"/>
    <w:rsid w:val="006210BA"/>
    <w:rsid w:val="006213E2"/>
    <w:rsid w:val="00624FC4"/>
    <w:rsid w:val="00640A0A"/>
    <w:rsid w:val="006421FF"/>
    <w:rsid w:val="0064466A"/>
    <w:rsid w:val="006515B4"/>
    <w:rsid w:val="00652342"/>
    <w:rsid w:val="006570E0"/>
    <w:rsid w:val="006602D5"/>
    <w:rsid w:val="00663580"/>
    <w:rsid w:val="006809AA"/>
    <w:rsid w:val="00681150"/>
    <w:rsid w:val="00685895"/>
    <w:rsid w:val="00685FB7"/>
    <w:rsid w:val="0068687C"/>
    <w:rsid w:val="00687087"/>
    <w:rsid w:val="0069236B"/>
    <w:rsid w:val="00694B11"/>
    <w:rsid w:val="00697039"/>
    <w:rsid w:val="006972C0"/>
    <w:rsid w:val="006A1012"/>
    <w:rsid w:val="006A2051"/>
    <w:rsid w:val="006A7C62"/>
    <w:rsid w:val="006B0AED"/>
    <w:rsid w:val="006B6CC7"/>
    <w:rsid w:val="006B7478"/>
    <w:rsid w:val="006C49DB"/>
    <w:rsid w:val="006C5FFF"/>
    <w:rsid w:val="006D54CF"/>
    <w:rsid w:val="006E3790"/>
    <w:rsid w:val="006E3A61"/>
    <w:rsid w:val="006E6724"/>
    <w:rsid w:val="006E6A20"/>
    <w:rsid w:val="006F15C2"/>
    <w:rsid w:val="0070008E"/>
    <w:rsid w:val="0070035A"/>
    <w:rsid w:val="0070547F"/>
    <w:rsid w:val="00706868"/>
    <w:rsid w:val="00710280"/>
    <w:rsid w:val="00715BBB"/>
    <w:rsid w:val="00720F29"/>
    <w:rsid w:val="0072269E"/>
    <w:rsid w:val="00731C5F"/>
    <w:rsid w:val="00747CE2"/>
    <w:rsid w:val="00750181"/>
    <w:rsid w:val="00750C5B"/>
    <w:rsid w:val="007546E1"/>
    <w:rsid w:val="00761D60"/>
    <w:rsid w:val="00763C96"/>
    <w:rsid w:val="00765378"/>
    <w:rsid w:val="00773069"/>
    <w:rsid w:val="00773536"/>
    <w:rsid w:val="00781148"/>
    <w:rsid w:val="00787F0D"/>
    <w:rsid w:val="00797695"/>
    <w:rsid w:val="007A0082"/>
    <w:rsid w:val="007A0CED"/>
    <w:rsid w:val="007A1361"/>
    <w:rsid w:val="007A2C20"/>
    <w:rsid w:val="007A5D95"/>
    <w:rsid w:val="007A74B1"/>
    <w:rsid w:val="007A798D"/>
    <w:rsid w:val="007B0AFA"/>
    <w:rsid w:val="007B59D1"/>
    <w:rsid w:val="007B679F"/>
    <w:rsid w:val="007C1C1A"/>
    <w:rsid w:val="007C286C"/>
    <w:rsid w:val="007C3B5E"/>
    <w:rsid w:val="007D6EEB"/>
    <w:rsid w:val="007E3CDF"/>
    <w:rsid w:val="007E50C2"/>
    <w:rsid w:val="007E5ED7"/>
    <w:rsid w:val="00801C70"/>
    <w:rsid w:val="00807311"/>
    <w:rsid w:val="00810D81"/>
    <w:rsid w:val="0081336C"/>
    <w:rsid w:val="00815B32"/>
    <w:rsid w:val="0081638E"/>
    <w:rsid w:val="00822154"/>
    <w:rsid w:val="0082306D"/>
    <w:rsid w:val="008236B4"/>
    <w:rsid w:val="00824B8D"/>
    <w:rsid w:val="00825CE9"/>
    <w:rsid w:val="00833581"/>
    <w:rsid w:val="00834898"/>
    <w:rsid w:val="00836F8E"/>
    <w:rsid w:val="00841381"/>
    <w:rsid w:val="00843A81"/>
    <w:rsid w:val="00853C2E"/>
    <w:rsid w:val="00853F4A"/>
    <w:rsid w:val="00854BFA"/>
    <w:rsid w:val="00857735"/>
    <w:rsid w:val="00857C81"/>
    <w:rsid w:val="00861B43"/>
    <w:rsid w:val="00861C2E"/>
    <w:rsid w:val="00867F26"/>
    <w:rsid w:val="008742C9"/>
    <w:rsid w:val="008756C2"/>
    <w:rsid w:val="008764B5"/>
    <w:rsid w:val="008767A2"/>
    <w:rsid w:val="00882FCB"/>
    <w:rsid w:val="00885750"/>
    <w:rsid w:val="008861A5"/>
    <w:rsid w:val="00890CD3"/>
    <w:rsid w:val="0089190E"/>
    <w:rsid w:val="008920AC"/>
    <w:rsid w:val="00894DEA"/>
    <w:rsid w:val="008A4224"/>
    <w:rsid w:val="008B0BEA"/>
    <w:rsid w:val="008B155B"/>
    <w:rsid w:val="008B71B4"/>
    <w:rsid w:val="008C0114"/>
    <w:rsid w:val="008C0760"/>
    <w:rsid w:val="008C5AB0"/>
    <w:rsid w:val="008C7CF6"/>
    <w:rsid w:val="008C7DC2"/>
    <w:rsid w:val="008D27B6"/>
    <w:rsid w:val="008D2C81"/>
    <w:rsid w:val="008D39F2"/>
    <w:rsid w:val="008E048D"/>
    <w:rsid w:val="008E54AD"/>
    <w:rsid w:val="008E730B"/>
    <w:rsid w:val="008F077C"/>
    <w:rsid w:val="008F1B68"/>
    <w:rsid w:val="008F1BBD"/>
    <w:rsid w:val="00901334"/>
    <w:rsid w:val="00902BD1"/>
    <w:rsid w:val="00907542"/>
    <w:rsid w:val="00910200"/>
    <w:rsid w:val="009164C2"/>
    <w:rsid w:val="00925414"/>
    <w:rsid w:val="00926099"/>
    <w:rsid w:val="00926103"/>
    <w:rsid w:val="00927308"/>
    <w:rsid w:val="00932B40"/>
    <w:rsid w:val="00932CB7"/>
    <w:rsid w:val="00942998"/>
    <w:rsid w:val="009436E0"/>
    <w:rsid w:val="0094507D"/>
    <w:rsid w:val="00950D36"/>
    <w:rsid w:val="0095341D"/>
    <w:rsid w:val="00955E63"/>
    <w:rsid w:val="00956D9A"/>
    <w:rsid w:val="0096266D"/>
    <w:rsid w:val="00966C53"/>
    <w:rsid w:val="0097553E"/>
    <w:rsid w:val="00977BE7"/>
    <w:rsid w:val="00980677"/>
    <w:rsid w:val="00980C09"/>
    <w:rsid w:val="00981941"/>
    <w:rsid w:val="00983A48"/>
    <w:rsid w:val="009A0E87"/>
    <w:rsid w:val="009A1EB0"/>
    <w:rsid w:val="009A3526"/>
    <w:rsid w:val="009A4EA0"/>
    <w:rsid w:val="009A6F8A"/>
    <w:rsid w:val="009B5E31"/>
    <w:rsid w:val="009B741B"/>
    <w:rsid w:val="009C2675"/>
    <w:rsid w:val="009C45C0"/>
    <w:rsid w:val="009C6314"/>
    <w:rsid w:val="009C6E19"/>
    <w:rsid w:val="009C7B80"/>
    <w:rsid w:val="009D3220"/>
    <w:rsid w:val="009D3CF7"/>
    <w:rsid w:val="009D7826"/>
    <w:rsid w:val="009E06CC"/>
    <w:rsid w:val="009E4D15"/>
    <w:rsid w:val="009E6171"/>
    <w:rsid w:val="009F01EA"/>
    <w:rsid w:val="009F1332"/>
    <w:rsid w:val="009F315E"/>
    <w:rsid w:val="009F46C2"/>
    <w:rsid w:val="009F6393"/>
    <w:rsid w:val="009F7DB9"/>
    <w:rsid w:val="009F7E1C"/>
    <w:rsid w:val="00A05766"/>
    <w:rsid w:val="00A1647D"/>
    <w:rsid w:val="00A20F38"/>
    <w:rsid w:val="00A25658"/>
    <w:rsid w:val="00A328F3"/>
    <w:rsid w:val="00A373DD"/>
    <w:rsid w:val="00A41710"/>
    <w:rsid w:val="00A41AA5"/>
    <w:rsid w:val="00A471C4"/>
    <w:rsid w:val="00A50B4D"/>
    <w:rsid w:val="00A52AAA"/>
    <w:rsid w:val="00A52E71"/>
    <w:rsid w:val="00A54B87"/>
    <w:rsid w:val="00A56426"/>
    <w:rsid w:val="00A574BF"/>
    <w:rsid w:val="00A640F6"/>
    <w:rsid w:val="00A645A2"/>
    <w:rsid w:val="00A7208B"/>
    <w:rsid w:val="00A73C99"/>
    <w:rsid w:val="00A93B6A"/>
    <w:rsid w:val="00A9636B"/>
    <w:rsid w:val="00A966D6"/>
    <w:rsid w:val="00AA5C1C"/>
    <w:rsid w:val="00AB110E"/>
    <w:rsid w:val="00AB24A2"/>
    <w:rsid w:val="00AB278E"/>
    <w:rsid w:val="00AB6539"/>
    <w:rsid w:val="00AC710B"/>
    <w:rsid w:val="00AE3488"/>
    <w:rsid w:val="00AE5470"/>
    <w:rsid w:val="00AF0F29"/>
    <w:rsid w:val="00AF11D7"/>
    <w:rsid w:val="00AF223E"/>
    <w:rsid w:val="00AF2733"/>
    <w:rsid w:val="00B03429"/>
    <w:rsid w:val="00B05CD9"/>
    <w:rsid w:val="00B05D48"/>
    <w:rsid w:val="00B116AF"/>
    <w:rsid w:val="00B166B3"/>
    <w:rsid w:val="00B2389C"/>
    <w:rsid w:val="00B2420B"/>
    <w:rsid w:val="00B25727"/>
    <w:rsid w:val="00B27FC4"/>
    <w:rsid w:val="00B30B05"/>
    <w:rsid w:val="00B3116A"/>
    <w:rsid w:val="00B34B96"/>
    <w:rsid w:val="00B43DBC"/>
    <w:rsid w:val="00B5158D"/>
    <w:rsid w:val="00B52382"/>
    <w:rsid w:val="00B628EE"/>
    <w:rsid w:val="00B72312"/>
    <w:rsid w:val="00B75AC2"/>
    <w:rsid w:val="00B8069B"/>
    <w:rsid w:val="00B87468"/>
    <w:rsid w:val="00B950D2"/>
    <w:rsid w:val="00B963D0"/>
    <w:rsid w:val="00BA01EB"/>
    <w:rsid w:val="00BA4D8D"/>
    <w:rsid w:val="00BB1160"/>
    <w:rsid w:val="00BB39D9"/>
    <w:rsid w:val="00BB6209"/>
    <w:rsid w:val="00BC2220"/>
    <w:rsid w:val="00BC2B93"/>
    <w:rsid w:val="00BC45B7"/>
    <w:rsid w:val="00BC46BE"/>
    <w:rsid w:val="00BD4507"/>
    <w:rsid w:val="00BE22AA"/>
    <w:rsid w:val="00BE6720"/>
    <w:rsid w:val="00BF0CA1"/>
    <w:rsid w:val="00BF2547"/>
    <w:rsid w:val="00BF5E11"/>
    <w:rsid w:val="00BF7FDF"/>
    <w:rsid w:val="00C01CA2"/>
    <w:rsid w:val="00C05B5B"/>
    <w:rsid w:val="00C06B0E"/>
    <w:rsid w:val="00C11876"/>
    <w:rsid w:val="00C145C5"/>
    <w:rsid w:val="00C25857"/>
    <w:rsid w:val="00C4474E"/>
    <w:rsid w:val="00C50A8F"/>
    <w:rsid w:val="00C536C9"/>
    <w:rsid w:val="00C54617"/>
    <w:rsid w:val="00C605EA"/>
    <w:rsid w:val="00C60787"/>
    <w:rsid w:val="00C61314"/>
    <w:rsid w:val="00C6779B"/>
    <w:rsid w:val="00C7314E"/>
    <w:rsid w:val="00C76422"/>
    <w:rsid w:val="00C81AA7"/>
    <w:rsid w:val="00C83097"/>
    <w:rsid w:val="00C91CCE"/>
    <w:rsid w:val="00C9394A"/>
    <w:rsid w:val="00C943A5"/>
    <w:rsid w:val="00C952AF"/>
    <w:rsid w:val="00CA0905"/>
    <w:rsid w:val="00CA68DE"/>
    <w:rsid w:val="00CA69E3"/>
    <w:rsid w:val="00CB1A27"/>
    <w:rsid w:val="00CC0837"/>
    <w:rsid w:val="00CC10ED"/>
    <w:rsid w:val="00CC188B"/>
    <w:rsid w:val="00CC20DB"/>
    <w:rsid w:val="00CC4055"/>
    <w:rsid w:val="00CC5DF6"/>
    <w:rsid w:val="00CC69CF"/>
    <w:rsid w:val="00CD25A9"/>
    <w:rsid w:val="00CD49D4"/>
    <w:rsid w:val="00CF74FF"/>
    <w:rsid w:val="00D02D48"/>
    <w:rsid w:val="00D03B64"/>
    <w:rsid w:val="00D04D6F"/>
    <w:rsid w:val="00D076F3"/>
    <w:rsid w:val="00D12D3F"/>
    <w:rsid w:val="00D14253"/>
    <w:rsid w:val="00D158E9"/>
    <w:rsid w:val="00D21BC9"/>
    <w:rsid w:val="00D24F22"/>
    <w:rsid w:val="00D260E9"/>
    <w:rsid w:val="00D27B5C"/>
    <w:rsid w:val="00D32B3E"/>
    <w:rsid w:val="00D3343D"/>
    <w:rsid w:val="00D3571D"/>
    <w:rsid w:val="00D36245"/>
    <w:rsid w:val="00D44426"/>
    <w:rsid w:val="00D44823"/>
    <w:rsid w:val="00D4601D"/>
    <w:rsid w:val="00D63AB2"/>
    <w:rsid w:val="00D64482"/>
    <w:rsid w:val="00D64574"/>
    <w:rsid w:val="00D716B3"/>
    <w:rsid w:val="00D76407"/>
    <w:rsid w:val="00D7641E"/>
    <w:rsid w:val="00D76B10"/>
    <w:rsid w:val="00D8655C"/>
    <w:rsid w:val="00D90EF8"/>
    <w:rsid w:val="00D91F81"/>
    <w:rsid w:val="00D92B75"/>
    <w:rsid w:val="00D96635"/>
    <w:rsid w:val="00D970E4"/>
    <w:rsid w:val="00DA2D0A"/>
    <w:rsid w:val="00DA3E4E"/>
    <w:rsid w:val="00DA4356"/>
    <w:rsid w:val="00DA4719"/>
    <w:rsid w:val="00DA6D43"/>
    <w:rsid w:val="00DB0F1B"/>
    <w:rsid w:val="00DB1EAA"/>
    <w:rsid w:val="00DB45BA"/>
    <w:rsid w:val="00DB5EEF"/>
    <w:rsid w:val="00DC304A"/>
    <w:rsid w:val="00DC55EB"/>
    <w:rsid w:val="00DC6709"/>
    <w:rsid w:val="00DD4924"/>
    <w:rsid w:val="00DD562A"/>
    <w:rsid w:val="00DD5829"/>
    <w:rsid w:val="00DE1F66"/>
    <w:rsid w:val="00DF0F97"/>
    <w:rsid w:val="00DF1DDF"/>
    <w:rsid w:val="00DF2519"/>
    <w:rsid w:val="00DF3C14"/>
    <w:rsid w:val="00E0449F"/>
    <w:rsid w:val="00E10601"/>
    <w:rsid w:val="00E10F98"/>
    <w:rsid w:val="00E1195B"/>
    <w:rsid w:val="00E13675"/>
    <w:rsid w:val="00E13BED"/>
    <w:rsid w:val="00E14B59"/>
    <w:rsid w:val="00E151DB"/>
    <w:rsid w:val="00E32CA6"/>
    <w:rsid w:val="00E375F1"/>
    <w:rsid w:val="00E376BD"/>
    <w:rsid w:val="00E42A78"/>
    <w:rsid w:val="00E45460"/>
    <w:rsid w:val="00E56D8C"/>
    <w:rsid w:val="00E6057E"/>
    <w:rsid w:val="00E63624"/>
    <w:rsid w:val="00E640EF"/>
    <w:rsid w:val="00E675C5"/>
    <w:rsid w:val="00E71ADB"/>
    <w:rsid w:val="00E76FE8"/>
    <w:rsid w:val="00E82A31"/>
    <w:rsid w:val="00E845CF"/>
    <w:rsid w:val="00E909F9"/>
    <w:rsid w:val="00E91772"/>
    <w:rsid w:val="00E93F97"/>
    <w:rsid w:val="00E9600E"/>
    <w:rsid w:val="00EA39E2"/>
    <w:rsid w:val="00EA5483"/>
    <w:rsid w:val="00EA5DFA"/>
    <w:rsid w:val="00EA7C7E"/>
    <w:rsid w:val="00EB11D6"/>
    <w:rsid w:val="00EB6111"/>
    <w:rsid w:val="00EC62B9"/>
    <w:rsid w:val="00EC7CF2"/>
    <w:rsid w:val="00ED086E"/>
    <w:rsid w:val="00ED4D55"/>
    <w:rsid w:val="00ED788C"/>
    <w:rsid w:val="00EE4391"/>
    <w:rsid w:val="00EE4604"/>
    <w:rsid w:val="00EF254D"/>
    <w:rsid w:val="00EF4233"/>
    <w:rsid w:val="00EF7ED2"/>
    <w:rsid w:val="00F00E57"/>
    <w:rsid w:val="00F03D39"/>
    <w:rsid w:val="00F06E89"/>
    <w:rsid w:val="00F0730E"/>
    <w:rsid w:val="00F15113"/>
    <w:rsid w:val="00F17A4D"/>
    <w:rsid w:val="00F24D52"/>
    <w:rsid w:val="00F34988"/>
    <w:rsid w:val="00F3663C"/>
    <w:rsid w:val="00F403AB"/>
    <w:rsid w:val="00F423C5"/>
    <w:rsid w:val="00F42A65"/>
    <w:rsid w:val="00F45079"/>
    <w:rsid w:val="00F45C5A"/>
    <w:rsid w:val="00F46A83"/>
    <w:rsid w:val="00F51FFC"/>
    <w:rsid w:val="00F5395E"/>
    <w:rsid w:val="00F66A0E"/>
    <w:rsid w:val="00F72967"/>
    <w:rsid w:val="00F73A73"/>
    <w:rsid w:val="00F93269"/>
    <w:rsid w:val="00F93A2E"/>
    <w:rsid w:val="00F95E09"/>
    <w:rsid w:val="00FA30DA"/>
    <w:rsid w:val="00FA40B3"/>
    <w:rsid w:val="00FA51B0"/>
    <w:rsid w:val="00FA56FE"/>
    <w:rsid w:val="00FB1381"/>
    <w:rsid w:val="00FB561C"/>
    <w:rsid w:val="00FB6874"/>
    <w:rsid w:val="00FC3937"/>
    <w:rsid w:val="00FC7D4B"/>
    <w:rsid w:val="00FE3A32"/>
    <w:rsid w:val="00FE42DA"/>
    <w:rsid w:val="00FE5A82"/>
    <w:rsid w:val="00FE6AB0"/>
    <w:rsid w:val="00FF0A47"/>
    <w:rsid w:val="00FF4E94"/>
    <w:rsid w:val="00FF597D"/>
    <w:rsid w:val="00FF66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8C9D"/>
  <w15:docId w15:val="{7DDD9A2E-80FF-48E5-B051-4631A5D0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76"/>
    <w:pPr>
      <w:spacing w:after="0" w:line="240" w:lineRule="auto"/>
    </w:pPr>
    <w:rPr>
      <w:rFonts w:ascii="Times New Roman" w:eastAsia="MS Mincho"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A2A76"/>
    <w:pPr>
      <w:tabs>
        <w:tab w:val="center" w:pos="4252"/>
        <w:tab w:val="right" w:pos="8504"/>
      </w:tabs>
    </w:pPr>
  </w:style>
  <w:style w:type="character" w:customStyle="1" w:styleId="EncabezadoCar">
    <w:name w:val="Encabezado Car"/>
    <w:basedOn w:val="Fuentedeprrafopredeter"/>
    <w:link w:val="Encabezado"/>
    <w:uiPriority w:val="99"/>
    <w:rsid w:val="001A2A76"/>
    <w:rPr>
      <w:rFonts w:ascii="Times New Roman" w:eastAsia="MS Mincho" w:hAnsi="Times New Roman" w:cs="Times New Roman"/>
      <w:sz w:val="24"/>
      <w:szCs w:val="24"/>
      <w:lang w:eastAsia="es-ES"/>
    </w:rPr>
  </w:style>
  <w:style w:type="paragraph" w:styleId="Piedepgina">
    <w:name w:val="footer"/>
    <w:basedOn w:val="Normal"/>
    <w:link w:val="PiedepginaCar"/>
    <w:uiPriority w:val="99"/>
    <w:rsid w:val="001A2A76"/>
    <w:pPr>
      <w:tabs>
        <w:tab w:val="center" w:pos="4252"/>
        <w:tab w:val="right" w:pos="8504"/>
      </w:tabs>
    </w:pPr>
  </w:style>
  <w:style w:type="character" w:customStyle="1" w:styleId="PiedepginaCar">
    <w:name w:val="Pie de página Car"/>
    <w:basedOn w:val="Fuentedeprrafopredeter"/>
    <w:link w:val="Piedepgina"/>
    <w:uiPriority w:val="99"/>
    <w:rsid w:val="001A2A76"/>
    <w:rPr>
      <w:rFonts w:ascii="Times New Roman" w:eastAsia="MS Mincho" w:hAnsi="Times New Roman" w:cs="Times New Roman"/>
      <w:sz w:val="24"/>
      <w:szCs w:val="24"/>
      <w:lang w:eastAsia="es-ES"/>
    </w:rPr>
  </w:style>
  <w:style w:type="character" w:styleId="Nmerodepgina">
    <w:name w:val="page number"/>
    <w:basedOn w:val="Fuentedeprrafopredeter"/>
    <w:uiPriority w:val="99"/>
    <w:rsid w:val="001A2A76"/>
    <w:rPr>
      <w:rFonts w:cs="Times New Roman"/>
    </w:rPr>
  </w:style>
  <w:style w:type="character" w:styleId="Hipervnculo">
    <w:name w:val="Hyperlink"/>
    <w:basedOn w:val="Fuentedeprrafopredeter"/>
    <w:uiPriority w:val="99"/>
    <w:rsid w:val="001A2A76"/>
    <w:rPr>
      <w:rFonts w:cs="Times New Roman"/>
      <w:color w:val="0000FF"/>
      <w:u w:val="single"/>
    </w:rPr>
  </w:style>
  <w:style w:type="character" w:styleId="Refdecomentario">
    <w:name w:val="annotation reference"/>
    <w:basedOn w:val="Fuentedeprrafopredeter"/>
    <w:uiPriority w:val="99"/>
    <w:rsid w:val="001A2A76"/>
    <w:rPr>
      <w:rFonts w:cs="Times New Roman"/>
      <w:sz w:val="16"/>
    </w:rPr>
  </w:style>
  <w:style w:type="paragraph" w:styleId="Textocomentario">
    <w:name w:val="annotation text"/>
    <w:basedOn w:val="Normal"/>
    <w:link w:val="TextocomentarioCar"/>
    <w:uiPriority w:val="99"/>
    <w:rsid w:val="001A2A76"/>
    <w:rPr>
      <w:sz w:val="20"/>
      <w:szCs w:val="20"/>
      <w:lang w:eastAsia="ja-JP"/>
    </w:rPr>
  </w:style>
  <w:style w:type="character" w:customStyle="1" w:styleId="TextocomentarioCar">
    <w:name w:val="Texto comentario Car"/>
    <w:basedOn w:val="Fuentedeprrafopredeter"/>
    <w:link w:val="Textocomentario"/>
    <w:uiPriority w:val="99"/>
    <w:rsid w:val="001A2A76"/>
    <w:rPr>
      <w:rFonts w:ascii="Times New Roman" w:eastAsia="MS Mincho" w:hAnsi="Times New Roman" w:cs="Times New Roman"/>
      <w:sz w:val="20"/>
      <w:szCs w:val="20"/>
      <w:lang w:eastAsia="ja-JP"/>
    </w:rPr>
  </w:style>
  <w:style w:type="paragraph" w:styleId="Prrafodelista">
    <w:name w:val="List Paragraph"/>
    <w:basedOn w:val="Normal"/>
    <w:link w:val="PrrafodelistaCar"/>
    <w:uiPriority w:val="34"/>
    <w:qFormat/>
    <w:rsid w:val="001A2A76"/>
    <w:pPr>
      <w:ind w:left="720"/>
      <w:contextualSpacing/>
    </w:pPr>
  </w:style>
  <w:style w:type="paragraph" w:styleId="NormalWeb">
    <w:name w:val="Normal (Web)"/>
    <w:basedOn w:val="Normal"/>
    <w:uiPriority w:val="99"/>
    <w:unhideWhenUsed/>
    <w:rsid w:val="001A2A76"/>
    <w:pPr>
      <w:spacing w:before="100" w:beforeAutospacing="1" w:after="100" w:afterAutospacing="1"/>
    </w:pPr>
    <w:rPr>
      <w:rFonts w:eastAsia="Times New Roman"/>
    </w:rPr>
  </w:style>
  <w:style w:type="character" w:customStyle="1" w:styleId="PrrafodelistaCar">
    <w:name w:val="Párrafo de lista Car"/>
    <w:basedOn w:val="Fuentedeprrafopredeter"/>
    <w:link w:val="Prrafodelista"/>
    <w:uiPriority w:val="34"/>
    <w:locked/>
    <w:rsid w:val="001A2A76"/>
    <w:rPr>
      <w:rFonts w:ascii="Times New Roman" w:eastAsia="MS Mincho" w:hAnsi="Times New Roman" w:cs="Times New Roman"/>
      <w:sz w:val="24"/>
      <w:szCs w:val="24"/>
      <w:lang w:eastAsia="es-ES"/>
    </w:rPr>
  </w:style>
  <w:style w:type="character" w:customStyle="1" w:styleId="normaltextrun">
    <w:name w:val="normaltextrun"/>
    <w:basedOn w:val="Fuentedeprrafopredeter"/>
    <w:rsid w:val="00694B11"/>
  </w:style>
  <w:style w:type="character" w:styleId="nfasis">
    <w:name w:val="Emphasis"/>
    <w:basedOn w:val="Fuentedeprrafopredeter"/>
    <w:uiPriority w:val="20"/>
    <w:qFormat/>
    <w:rsid w:val="0072269E"/>
    <w:rPr>
      <w:i/>
      <w:iCs/>
    </w:rPr>
  </w:style>
  <w:style w:type="character" w:customStyle="1" w:styleId="Mencinsinresolver1">
    <w:name w:val="Mención sin resolver1"/>
    <w:basedOn w:val="Fuentedeprrafopredeter"/>
    <w:uiPriority w:val="99"/>
    <w:semiHidden/>
    <w:unhideWhenUsed/>
    <w:rsid w:val="002A3D92"/>
    <w:rPr>
      <w:color w:val="605E5C"/>
      <w:shd w:val="clear" w:color="auto" w:fill="E1DFDD"/>
    </w:rPr>
  </w:style>
  <w:style w:type="paragraph" w:styleId="Textodeglobo">
    <w:name w:val="Balloon Text"/>
    <w:basedOn w:val="Normal"/>
    <w:link w:val="TextodegloboCar"/>
    <w:uiPriority w:val="99"/>
    <w:semiHidden/>
    <w:unhideWhenUsed/>
    <w:rsid w:val="0001254E"/>
    <w:rPr>
      <w:rFonts w:ascii="Tahoma" w:hAnsi="Tahoma" w:cs="Tahoma"/>
      <w:sz w:val="16"/>
      <w:szCs w:val="16"/>
    </w:rPr>
  </w:style>
  <w:style w:type="character" w:customStyle="1" w:styleId="TextodegloboCar">
    <w:name w:val="Texto de globo Car"/>
    <w:basedOn w:val="Fuentedeprrafopredeter"/>
    <w:link w:val="Textodeglobo"/>
    <w:uiPriority w:val="99"/>
    <w:semiHidden/>
    <w:rsid w:val="0001254E"/>
    <w:rPr>
      <w:rFonts w:ascii="Tahoma" w:eastAsia="MS Mincho" w:hAnsi="Tahoma" w:cs="Tahoma"/>
      <w:sz w:val="16"/>
      <w:szCs w:val="16"/>
      <w:lang w:eastAsia="es-ES"/>
    </w:rPr>
  </w:style>
  <w:style w:type="character" w:styleId="Mencinsinresolver">
    <w:name w:val="Unresolved Mention"/>
    <w:basedOn w:val="Fuentedeprrafopredeter"/>
    <w:uiPriority w:val="99"/>
    <w:semiHidden/>
    <w:unhideWhenUsed/>
    <w:rsid w:val="009A1EB0"/>
    <w:rPr>
      <w:color w:val="605E5C"/>
      <w:shd w:val="clear" w:color="auto" w:fill="E1DFDD"/>
    </w:rPr>
  </w:style>
  <w:style w:type="paragraph" w:styleId="Revisin">
    <w:name w:val="Revision"/>
    <w:hidden/>
    <w:uiPriority w:val="99"/>
    <w:semiHidden/>
    <w:rsid w:val="00F17A4D"/>
    <w:pPr>
      <w:spacing w:after="0" w:line="240" w:lineRule="auto"/>
    </w:pPr>
    <w:rPr>
      <w:rFonts w:ascii="Times New Roman" w:eastAsia="MS Mincho"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A4D8D"/>
    <w:rPr>
      <w:b/>
      <w:bCs/>
      <w:lang w:eastAsia="es-ES"/>
    </w:rPr>
  </w:style>
  <w:style w:type="character" w:customStyle="1" w:styleId="AsuntodelcomentarioCar">
    <w:name w:val="Asunto del comentario Car"/>
    <w:basedOn w:val="TextocomentarioCar"/>
    <w:link w:val="Asuntodelcomentario"/>
    <w:uiPriority w:val="99"/>
    <w:semiHidden/>
    <w:rsid w:val="00BA4D8D"/>
    <w:rPr>
      <w:rFonts w:ascii="Times New Roman" w:eastAsia="MS Mincho" w:hAnsi="Times New Roman" w:cs="Times New Roman"/>
      <w:b/>
      <w:bCs/>
      <w:sz w:val="20"/>
      <w:szCs w:val="20"/>
      <w:lang w:eastAsia="es-ES"/>
    </w:rPr>
  </w:style>
  <w:style w:type="paragraph" w:customStyle="1" w:styleId="isselectedend">
    <w:name w:val="isselectedend"/>
    <w:basedOn w:val="Normal"/>
    <w:rsid w:val="00E63624"/>
    <w:pPr>
      <w:spacing w:before="100" w:beforeAutospacing="1" w:after="100" w:afterAutospacing="1"/>
    </w:pPr>
    <w:rPr>
      <w:rFonts w:eastAsia="Times New Roman"/>
    </w:rPr>
  </w:style>
  <w:style w:type="character" w:styleId="Fuerte">
    <w:name w:val="Strong"/>
    <w:basedOn w:val="Fuentedeprrafopredeter"/>
    <w:uiPriority w:val="22"/>
    <w:qFormat/>
    <w:rsid w:val="00E636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5472">
      <w:bodyDiv w:val="1"/>
      <w:marLeft w:val="0"/>
      <w:marRight w:val="0"/>
      <w:marTop w:val="0"/>
      <w:marBottom w:val="0"/>
      <w:divBdr>
        <w:top w:val="none" w:sz="0" w:space="0" w:color="auto"/>
        <w:left w:val="none" w:sz="0" w:space="0" w:color="auto"/>
        <w:bottom w:val="none" w:sz="0" w:space="0" w:color="auto"/>
        <w:right w:val="none" w:sz="0" w:space="0" w:color="auto"/>
      </w:divBdr>
    </w:div>
    <w:div w:id="94403549">
      <w:bodyDiv w:val="1"/>
      <w:marLeft w:val="0"/>
      <w:marRight w:val="0"/>
      <w:marTop w:val="0"/>
      <w:marBottom w:val="0"/>
      <w:divBdr>
        <w:top w:val="none" w:sz="0" w:space="0" w:color="auto"/>
        <w:left w:val="none" w:sz="0" w:space="0" w:color="auto"/>
        <w:bottom w:val="none" w:sz="0" w:space="0" w:color="auto"/>
        <w:right w:val="none" w:sz="0" w:space="0" w:color="auto"/>
      </w:divBdr>
    </w:div>
    <w:div w:id="121778022">
      <w:bodyDiv w:val="1"/>
      <w:marLeft w:val="0"/>
      <w:marRight w:val="0"/>
      <w:marTop w:val="0"/>
      <w:marBottom w:val="0"/>
      <w:divBdr>
        <w:top w:val="none" w:sz="0" w:space="0" w:color="auto"/>
        <w:left w:val="none" w:sz="0" w:space="0" w:color="auto"/>
        <w:bottom w:val="none" w:sz="0" w:space="0" w:color="auto"/>
        <w:right w:val="none" w:sz="0" w:space="0" w:color="auto"/>
      </w:divBdr>
    </w:div>
    <w:div w:id="206647555">
      <w:bodyDiv w:val="1"/>
      <w:marLeft w:val="0"/>
      <w:marRight w:val="0"/>
      <w:marTop w:val="0"/>
      <w:marBottom w:val="0"/>
      <w:divBdr>
        <w:top w:val="none" w:sz="0" w:space="0" w:color="auto"/>
        <w:left w:val="none" w:sz="0" w:space="0" w:color="auto"/>
        <w:bottom w:val="none" w:sz="0" w:space="0" w:color="auto"/>
        <w:right w:val="none" w:sz="0" w:space="0" w:color="auto"/>
      </w:divBdr>
    </w:div>
    <w:div w:id="265775920">
      <w:bodyDiv w:val="1"/>
      <w:marLeft w:val="0"/>
      <w:marRight w:val="0"/>
      <w:marTop w:val="0"/>
      <w:marBottom w:val="0"/>
      <w:divBdr>
        <w:top w:val="none" w:sz="0" w:space="0" w:color="auto"/>
        <w:left w:val="none" w:sz="0" w:space="0" w:color="auto"/>
        <w:bottom w:val="none" w:sz="0" w:space="0" w:color="auto"/>
        <w:right w:val="none" w:sz="0" w:space="0" w:color="auto"/>
      </w:divBdr>
    </w:div>
    <w:div w:id="322707354">
      <w:bodyDiv w:val="1"/>
      <w:marLeft w:val="0"/>
      <w:marRight w:val="0"/>
      <w:marTop w:val="0"/>
      <w:marBottom w:val="0"/>
      <w:divBdr>
        <w:top w:val="none" w:sz="0" w:space="0" w:color="auto"/>
        <w:left w:val="none" w:sz="0" w:space="0" w:color="auto"/>
        <w:bottom w:val="none" w:sz="0" w:space="0" w:color="auto"/>
        <w:right w:val="none" w:sz="0" w:space="0" w:color="auto"/>
      </w:divBdr>
    </w:div>
    <w:div w:id="323583487">
      <w:bodyDiv w:val="1"/>
      <w:marLeft w:val="0"/>
      <w:marRight w:val="0"/>
      <w:marTop w:val="0"/>
      <w:marBottom w:val="0"/>
      <w:divBdr>
        <w:top w:val="none" w:sz="0" w:space="0" w:color="auto"/>
        <w:left w:val="none" w:sz="0" w:space="0" w:color="auto"/>
        <w:bottom w:val="none" w:sz="0" w:space="0" w:color="auto"/>
        <w:right w:val="none" w:sz="0" w:space="0" w:color="auto"/>
      </w:divBdr>
    </w:div>
    <w:div w:id="358898664">
      <w:bodyDiv w:val="1"/>
      <w:marLeft w:val="0"/>
      <w:marRight w:val="0"/>
      <w:marTop w:val="0"/>
      <w:marBottom w:val="0"/>
      <w:divBdr>
        <w:top w:val="none" w:sz="0" w:space="0" w:color="auto"/>
        <w:left w:val="none" w:sz="0" w:space="0" w:color="auto"/>
        <w:bottom w:val="none" w:sz="0" w:space="0" w:color="auto"/>
        <w:right w:val="none" w:sz="0" w:space="0" w:color="auto"/>
      </w:divBdr>
    </w:div>
    <w:div w:id="359666667">
      <w:bodyDiv w:val="1"/>
      <w:marLeft w:val="0"/>
      <w:marRight w:val="0"/>
      <w:marTop w:val="0"/>
      <w:marBottom w:val="0"/>
      <w:divBdr>
        <w:top w:val="none" w:sz="0" w:space="0" w:color="auto"/>
        <w:left w:val="none" w:sz="0" w:space="0" w:color="auto"/>
        <w:bottom w:val="none" w:sz="0" w:space="0" w:color="auto"/>
        <w:right w:val="none" w:sz="0" w:space="0" w:color="auto"/>
      </w:divBdr>
    </w:div>
    <w:div w:id="395978433">
      <w:bodyDiv w:val="1"/>
      <w:marLeft w:val="0"/>
      <w:marRight w:val="0"/>
      <w:marTop w:val="0"/>
      <w:marBottom w:val="0"/>
      <w:divBdr>
        <w:top w:val="none" w:sz="0" w:space="0" w:color="auto"/>
        <w:left w:val="none" w:sz="0" w:space="0" w:color="auto"/>
        <w:bottom w:val="none" w:sz="0" w:space="0" w:color="auto"/>
        <w:right w:val="none" w:sz="0" w:space="0" w:color="auto"/>
      </w:divBdr>
    </w:div>
    <w:div w:id="418596719">
      <w:bodyDiv w:val="1"/>
      <w:marLeft w:val="0"/>
      <w:marRight w:val="0"/>
      <w:marTop w:val="0"/>
      <w:marBottom w:val="0"/>
      <w:divBdr>
        <w:top w:val="none" w:sz="0" w:space="0" w:color="auto"/>
        <w:left w:val="none" w:sz="0" w:space="0" w:color="auto"/>
        <w:bottom w:val="none" w:sz="0" w:space="0" w:color="auto"/>
        <w:right w:val="none" w:sz="0" w:space="0" w:color="auto"/>
      </w:divBdr>
    </w:div>
    <w:div w:id="446660038">
      <w:bodyDiv w:val="1"/>
      <w:marLeft w:val="0"/>
      <w:marRight w:val="0"/>
      <w:marTop w:val="0"/>
      <w:marBottom w:val="0"/>
      <w:divBdr>
        <w:top w:val="none" w:sz="0" w:space="0" w:color="auto"/>
        <w:left w:val="none" w:sz="0" w:space="0" w:color="auto"/>
        <w:bottom w:val="none" w:sz="0" w:space="0" w:color="auto"/>
        <w:right w:val="none" w:sz="0" w:space="0" w:color="auto"/>
      </w:divBdr>
    </w:div>
    <w:div w:id="482935874">
      <w:bodyDiv w:val="1"/>
      <w:marLeft w:val="0"/>
      <w:marRight w:val="0"/>
      <w:marTop w:val="0"/>
      <w:marBottom w:val="0"/>
      <w:divBdr>
        <w:top w:val="none" w:sz="0" w:space="0" w:color="auto"/>
        <w:left w:val="none" w:sz="0" w:space="0" w:color="auto"/>
        <w:bottom w:val="none" w:sz="0" w:space="0" w:color="auto"/>
        <w:right w:val="none" w:sz="0" w:space="0" w:color="auto"/>
      </w:divBdr>
    </w:div>
    <w:div w:id="489752631">
      <w:bodyDiv w:val="1"/>
      <w:marLeft w:val="0"/>
      <w:marRight w:val="0"/>
      <w:marTop w:val="0"/>
      <w:marBottom w:val="0"/>
      <w:divBdr>
        <w:top w:val="none" w:sz="0" w:space="0" w:color="auto"/>
        <w:left w:val="none" w:sz="0" w:space="0" w:color="auto"/>
        <w:bottom w:val="none" w:sz="0" w:space="0" w:color="auto"/>
        <w:right w:val="none" w:sz="0" w:space="0" w:color="auto"/>
      </w:divBdr>
    </w:div>
    <w:div w:id="505442985">
      <w:bodyDiv w:val="1"/>
      <w:marLeft w:val="0"/>
      <w:marRight w:val="0"/>
      <w:marTop w:val="0"/>
      <w:marBottom w:val="0"/>
      <w:divBdr>
        <w:top w:val="none" w:sz="0" w:space="0" w:color="auto"/>
        <w:left w:val="none" w:sz="0" w:space="0" w:color="auto"/>
        <w:bottom w:val="none" w:sz="0" w:space="0" w:color="auto"/>
        <w:right w:val="none" w:sz="0" w:space="0" w:color="auto"/>
      </w:divBdr>
    </w:div>
    <w:div w:id="507906010">
      <w:bodyDiv w:val="1"/>
      <w:marLeft w:val="0"/>
      <w:marRight w:val="0"/>
      <w:marTop w:val="0"/>
      <w:marBottom w:val="0"/>
      <w:divBdr>
        <w:top w:val="none" w:sz="0" w:space="0" w:color="auto"/>
        <w:left w:val="none" w:sz="0" w:space="0" w:color="auto"/>
        <w:bottom w:val="none" w:sz="0" w:space="0" w:color="auto"/>
        <w:right w:val="none" w:sz="0" w:space="0" w:color="auto"/>
      </w:divBdr>
    </w:div>
    <w:div w:id="537204945">
      <w:bodyDiv w:val="1"/>
      <w:marLeft w:val="0"/>
      <w:marRight w:val="0"/>
      <w:marTop w:val="0"/>
      <w:marBottom w:val="0"/>
      <w:divBdr>
        <w:top w:val="none" w:sz="0" w:space="0" w:color="auto"/>
        <w:left w:val="none" w:sz="0" w:space="0" w:color="auto"/>
        <w:bottom w:val="none" w:sz="0" w:space="0" w:color="auto"/>
        <w:right w:val="none" w:sz="0" w:space="0" w:color="auto"/>
      </w:divBdr>
    </w:div>
    <w:div w:id="562451697">
      <w:bodyDiv w:val="1"/>
      <w:marLeft w:val="0"/>
      <w:marRight w:val="0"/>
      <w:marTop w:val="0"/>
      <w:marBottom w:val="0"/>
      <w:divBdr>
        <w:top w:val="none" w:sz="0" w:space="0" w:color="auto"/>
        <w:left w:val="none" w:sz="0" w:space="0" w:color="auto"/>
        <w:bottom w:val="none" w:sz="0" w:space="0" w:color="auto"/>
        <w:right w:val="none" w:sz="0" w:space="0" w:color="auto"/>
      </w:divBdr>
    </w:div>
    <w:div w:id="598217711">
      <w:bodyDiv w:val="1"/>
      <w:marLeft w:val="0"/>
      <w:marRight w:val="0"/>
      <w:marTop w:val="0"/>
      <w:marBottom w:val="0"/>
      <w:divBdr>
        <w:top w:val="none" w:sz="0" w:space="0" w:color="auto"/>
        <w:left w:val="none" w:sz="0" w:space="0" w:color="auto"/>
        <w:bottom w:val="none" w:sz="0" w:space="0" w:color="auto"/>
        <w:right w:val="none" w:sz="0" w:space="0" w:color="auto"/>
      </w:divBdr>
    </w:div>
    <w:div w:id="623973256">
      <w:bodyDiv w:val="1"/>
      <w:marLeft w:val="0"/>
      <w:marRight w:val="0"/>
      <w:marTop w:val="0"/>
      <w:marBottom w:val="0"/>
      <w:divBdr>
        <w:top w:val="none" w:sz="0" w:space="0" w:color="auto"/>
        <w:left w:val="none" w:sz="0" w:space="0" w:color="auto"/>
        <w:bottom w:val="none" w:sz="0" w:space="0" w:color="auto"/>
        <w:right w:val="none" w:sz="0" w:space="0" w:color="auto"/>
      </w:divBdr>
    </w:div>
    <w:div w:id="687293555">
      <w:bodyDiv w:val="1"/>
      <w:marLeft w:val="0"/>
      <w:marRight w:val="0"/>
      <w:marTop w:val="0"/>
      <w:marBottom w:val="0"/>
      <w:divBdr>
        <w:top w:val="none" w:sz="0" w:space="0" w:color="auto"/>
        <w:left w:val="none" w:sz="0" w:space="0" w:color="auto"/>
        <w:bottom w:val="none" w:sz="0" w:space="0" w:color="auto"/>
        <w:right w:val="none" w:sz="0" w:space="0" w:color="auto"/>
      </w:divBdr>
    </w:div>
    <w:div w:id="694111533">
      <w:bodyDiv w:val="1"/>
      <w:marLeft w:val="0"/>
      <w:marRight w:val="0"/>
      <w:marTop w:val="0"/>
      <w:marBottom w:val="0"/>
      <w:divBdr>
        <w:top w:val="none" w:sz="0" w:space="0" w:color="auto"/>
        <w:left w:val="none" w:sz="0" w:space="0" w:color="auto"/>
        <w:bottom w:val="none" w:sz="0" w:space="0" w:color="auto"/>
        <w:right w:val="none" w:sz="0" w:space="0" w:color="auto"/>
      </w:divBdr>
    </w:div>
    <w:div w:id="804589289">
      <w:bodyDiv w:val="1"/>
      <w:marLeft w:val="0"/>
      <w:marRight w:val="0"/>
      <w:marTop w:val="0"/>
      <w:marBottom w:val="0"/>
      <w:divBdr>
        <w:top w:val="none" w:sz="0" w:space="0" w:color="auto"/>
        <w:left w:val="none" w:sz="0" w:space="0" w:color="auto"/>
        <w:bottom w:val="none" w:sz="0" w:space="0" w:color="auto"/>
        <w:right w:val="none" w:sz="0" w:space="0" w:color="auto"/>
      </w:divBdr>
    </w:div>
    <w:div w:id="914322571">
      <w:bodyDiv w:val="1"/>
      <w:marLeft w:val="0"/>
      <w:marRight w:val="0"/>
      <w:marTop w:val="0"/>
      <w:marBottom w:val="0"/>
      <w:divBdr>
        <w:top w:val="none" w:sz="0" w:space="0" w:color="auto"/>
        <w:left w:val="none" w:sz="0" w:space="0" w:color="auto"/>
        <w:bottom w:val="none" w:sz="0" w:space="0" w:color="auto"/>
        <w:right w:val="none" w:sz="0" w:space="0" w:color="auto"/>
      </w:divBdr>
    </w:div>
    <w:div w:id="921061617">
      <w:bodyDiv w:val="1"/>
      <w:marLeft w:val="0"/>
      <w:marRight w:val="0"/>
      <w:marTop w:val="0"/>
      <w:marBottom w:val="0"/>
      <w:divBdr>
        <w:top w:val="none" w:sz="0" w:space="0" w:color="auto"/>
        <w:left w:val="none" w:sz="0" w:space="0" w:color="auto"/>
        <w:bottom w:val="none" w:sz="0" w:space="0" w:color="auto"/>
        <w:right w:val="none" w:sz="0" w:space="0" w:color="auto"/>
      </w:divBdr>
    </w:div>
    <w:div w:id="925771806">
      <w:bodyDiv w:val="1"/>
      <w:marLeft w:val="0"/>
      <w:marRight w:val="0"/>
      <w:marTop w:val="0"/>
      <w:marBottom w:val="0"/>
      <w:divBdr>
        <w:top w:val="none" w:sz="0" w:space="0" w:color="auto"/>
        <w:left w:val="none" w:sz="0" w:space="0" w:color="auto"/>
        <w:bottom w:val="none" w:sz="0" w:space="0" w:color="auto"/>
        <w:right w:val="none" w:sz="0" w:space="0" w:color="auto"/>
      </w:divBdr>
    </w:div>
    <w:div w:id="938027819">
      <w:bodyDiv w:val="1"/>
      <w:marLeft w:val="0"/>
      <w:marRight w:val="0"/>
      <w:marTop w:val="0"/>
      <w:marBottom w:val="0"/>
      <w:divBdr>
        <w:top w:val="none" w:sz="0" w:space="0" w:color="auto"/>
        <w:left w:val="none" w:sz="0" w:space="0" w:color="auto"/>
        <w:bottom w:val="none" w:sz="0" w:space="0" w:color="auto"/>
        <w:right w:val="none" w:sz="0" w:space="0" w:color="auto"/>
      </w:divBdr>
    </w:div>
    <w:div w:id="978924012">
      <w:bodyDiv w:val="1"/>
      <w:marLeft w:val="0"/>
      <w:marRight w:val="0"/>
      <w:marTop w:val="0"/>
      <w:marBottom w:val="0"/>
      <w:divBdr>
        <w:top w:val="none" w:sz="0" w:space="0" w:color="auto"/>
        <w:left w:val="none" w:sz="0" w:space="0" w:color="auto"/>
        <w:bottom w:val="none" w:sz="0" w:space="0" w:color="auto"/>
        <w:right w:val="none" w:sz="0" w:space="0" w:color="auto"/>
      </w:divBdr>
    </w:div>
    <w:div w:id="982545462">
      <w:bodyDiv w:val="1"/>
      <w:marLeft w:val="0"/>
      <w:marRight w:val="0"/>
      <w:marTop w:val="0"/>
      <w:marBottom w:val="0"/>
      <w:divBdr>
        <w:top w:val="none" w:sz="0" w:space="0" w:color="auto"/>
        <w:left w:val="none" w:sz="0" w:space="0" w:color="auto"/>
        <w:bottom w:val="none" w:sz="0" w:space="0" w:color="auto"/>
        <w:right w:val="none" w:sz="0" w:space="0" w:color="auto"/>
      </w:divBdr>
    </w:div>
    <w:div w:id="1007439491">
      <w:bodyDiv w:val="1"/>
      <w:marLeft w:val="0"/>
      <w:marRight w:val="0"/>
      <w:marTop w:val="0"/>
      <w:marBottom w:val="0"/>
      <w:divBdr>
        <w:top w:val="none" w:sz="0" w:space="0" w:color="auto"/>
        <w:left w:val="none" w:sz="0" w:space="0" w:color="auto"/>
        <w:bottom w:val="none" w:sz="0" w:space="0" w:color="auto"/>
        <w:right w:val="none" w:sz="0" w:space="0" w:color="auto"/>
      </w:divBdr>
    </w:div>
    <w:div w:id="1011646435">
      <w:bodyDiv w:val="1"/>
      <w:marLeft w:val="0"/>
      <w:marRight w:val="0"/>
      <w:marTop w:val="0"/>
      <w:marBottom w:val="0"/>
      <w:divBdr>
        <w:top w:val="none" w:sz="0" w:space="0" w:color="auto"/>
        <w:left w:val="none" w:sz="0" w:space="0" w:color="auto"/>
        <w:bottom w:val="none" w:sz="0" w:space="0" w:color="auto"/>
        <w:right w:val="none" w:sz="0" w:space="0" w:color="auto"/>
      </w:divBdr>
    </w:div>
    <w:div w:id="1044325815">
      <w:bodyDiv w:val="1"/>
      <w:marLeft w:val="0"/>
      <w:marRight w:val="0"/>
      <w:marTop w:val="0"/>
      <w:marBottom w:val="0"/>
      <w:divBdr>
        <w:top w:val="none" w:sz="0" w:space="0" w:color="auto"/>
        <w:left w:val="none" w:sz="0" w:space="0" w:color="auto"/>
        <w:bottom w:val="none" w:sz="0" w:space="0" w:color="auto"/>
        <w:right w:val="none" w:sz="0" w:space="0" w:color="auto"/>
      </w:divBdr>
    </w:div>
    <w:div w:id="1069422972">
      <w:bodyDiv w:val="1"/>
      <w:marLeft w:val="0"/>
      <w:marRight w:val="0"/>
      <w:marTop w:val="0"/>
      <w:marBottom w:val="0"/>
      <w:divBdr>
        <w:top w:val="none" w:sz="0" w:space="0" w:color="auto"/>
        <w:left w:val="none" w:sz="0" w:space="0" w:color="auto"/>
        <w:bottom w:val="none" w:sz="0" w:space="0" w:color="auto"/>
        <w:right w:val="none" w:sz="0" w:space="0" w:color="auto"/>
      </w:divBdr>
    </w:div>
    <w:div w:id="1082406842">
      <w:bodyDiv w:val="1"/>
      <w:marLeft w:val="0"/>
      <w:marRight w:val="0"/>
      <w:marTop w:val="0"/>
      <w:marBottom w:val="0"/>
      <w:divBdr>
        <w:top w:val="none" w:sz="0" w:space="0" w:color="auto"/>
        <w:left w:val="none" w:sz="0" w:space="0" w:color="auto"/>
        <w:bottom w:val="none" w:sz="0" w:space="0" w:color="auto"/>
        <w:right w:val="none" w:sz="0" w:space="0" w:color="auto"/>
      </w:divBdr>
    </w:div>
    <w:div w:id="1112481843">
      <w:bodyDiv w:val="1"/>
      <w:marLeft w:val="0"/>
      <w:marRight w:val="0"/>
      <w:marTop w:val="0"/>
      <w:marBottom w:val="0"/>
      <w:divBdr>
        <w:top w:val="none" w:sz="0" w:space="0" w:color="auto"/>
        <w:left w:val="none" w:sz="0" w:space="0" w:color="auto"/>
        <w:bottom w:val="none" w:sz="0" w:space="0" w:color="auto"/>
        <w:right w:val="none" w:sz="0" w:space="0" w:color="auto"/>
      </w:divBdr>
    </w:div>
    <w:div w:id="1123232304">
      <w:bodyDiv w:val="1"/>
      <w:marLeft w:val="0"/>
      <w:marRight w:val="0"/>
      <w:marTop w:val="0"/>
      <w:marBottom w:val="0"/>
      <w:divBdr>
        <w:top w:val="none" w:sz="0" w:space="0" w:color="auto"/>
        <w:left w:val="none" w:sz="0" w:space="0" w:color="auto"/>
        <w:bottom w:val="none" w:sz="0" w:space="0" w:color="auto"/>
        <w:right w:val="none" w:sz="0" w:space="0" w:color="auto"/>
      </w:divBdr>
    </w:div>
    <w:div w:id="1168598454">
      <w:bodyDiv w:val="1"/>
      <w:marLeft w:val="0"/>
      <w:marRight w:val="0"/>
      <w:marTop w:val="0"/>
      <w:marBottom w:val="0"/>
      <w:divBdr>
        <w:top w:val="none" w:sz="0" w:space="0" w:color="auto"/>
        <w:left w:val="none" w:sz="0" w:space="0" w:color="auto"/>
        <w:bottom w:val="none" w:sz="0" w:space="0" w:color="auto"/>
        <w:right w:val="none" w:sz="0" w:space="0" w:color="auto"/>
      </w:divBdr>
    </w:div>
    <w:div w:id="1202866525">
      <w:bodyDiv w:val="1"/>
      <w:marLeft w:val="0"/>
      <w:marRight w:val="0"/>
      <w:marTop w:val="0"/>
      <w:marBottom w:val="0"/>
      <w:divBdr>
        <w:top w:val="none" w:sz="0" w:space="0" w:color="auto"/>
        <w:left w:val="none" w:sz="0" w:space="0" w:color="auto"/>
        <w:bottom w:val="none" w:sz="0" w:space="0" w:color="auto"/>
        <w:right w:val="none" w:sz="0" w:space="0" w:color="auto"/>
      </w:divBdr>
    </w:div>
    <w:div w:id="1297030516">
      <w:bodyDiv w:val="1"/>
      <w:marLeft w:val="0"/>
      <w:marRight w:val="0"/>
      <w:marTop w:val="0"/>
      <w:marBottom w:val="0"/>
      <w:divBdr>
        <w:top w:val="none" w:sz="0" w:space="0" w:color="auto"/>
        <w:left w:val="none" w:sz="0" w:space="0" w:color="auto"/>
        <w:bottom w:val="none" w:sz="0" w:space="0" w:color="auto"/>
        <w:right w:val="none" w:sz="0" w:space="0" w:color="auto"/>
      </w:divBdr>
    </w:div>
    <w:div w:id="1377586616">
      <w:bodyDiv w:val="1"/>
      <w:marLeft w:val="0"/>
      <w:marRight w:val="0"/>
      <w:marTop w:val="0"/>
      <w:marBottom w:val="0"/>
      <w:divBdr>
        <w:top w:val="none" w:sz="0" w:space="0" w:color="auto"/>
        <w:left w:val="none" w:sz="0" w:space="0" w:color="auto"/>
        <w:bottom w:val="none" w:sz="0" w:space="0" w:color="auto"/>
        <w:right w:val="none" w:sz="0" w:space="0" w:color="auto"/>
      </w:divBdr>
    </w:div>
    <w:div w:id="1379624675">
      <w:bodyDiv w:val="1"/>
      <w:marLeft w:val="0"/>
      <w:marRight w:val="0"/>
      <w:marTop w:val="0"/>
      <w:marBottom w:val="0"/>
      <w:divBdr>
        <w:top w:val="none" w:sz="0" w:space="0" w:color="auto"/>
        <w:left w:val="none" w:sz="0" w:space="0" w:color="auto"/>
        <w:bottom w:val="none" w:sz="0" w:space="0" w:color="auto"/>
        <w:right w:val="none" w:sz="0" w:space="0" w:color="auto"/>
      </w:divBdr>
    </w:div>
    <w:div w:id="1389456626">
      <w:bodyDiv w:val="1"/>
      <w:marLeft w:val="0"/>
      <w:marRight w:val="0"/>
      <w:marTop w:val="0"/>
      <w:marBottom w:val="0"/>
      <w:divBdr>
        <w:top w:val="none" w:sz="0" w:space="0" w:color="auto"/>
        <w:left w:val="none" w:sz="0" w:space="0" w:color="auto"/>
        <w:bottom w:val="none" w:sz="0" w:space="0" w:color="auto"/>
        <w:right w:val="none" w:sz="0" w:space="0" w:color="auto"/>
      </w:divBdr>
    </w:div>
    <w:div w:id="1506747946">
      <w:bodyDiv w:val="1"/>
      <w:marLeft w:val="0"/>
      <w:marRight w:val="0"/>
      <w:marTop w:val="0"/>
      <w:marBottom w:val="0"/>
      <w:divBdr>
        <w:top w:val="none" w:sz="0" w:space="0" w:color="auto"/>
        <w:left w:val="none" w:sz="0" w:space="0" w:color="auto"/>
        <w:bottom w:val="none" w:sz="0" w:space="0" w:color="auto"/>
        <w:right w:val="none" w:sz="0" w:space="0" w:color="auto"/>
      </w:divBdr>
      <w:divsChild>
        <w:div w:id="392969413">
          <w:marLeft w:val="288"/>
          <w:marRight w:val="0"/>
          <w:marTop w:val="200"/>
          <w:marBottom w:val="100"/>
          <w:divBdr>
            <w:top w:val="none" w:sz="0" w:space="0" w:color="auto"/>
            <w:left w:val="none" w:sz="0" w:space="0" w:color="auto"/>
            <w:bottom w:val="none" w:sz="0" w:space="0" w:color="auto"/>
            <w:right w:val="none" w:sz="0" w:space="0" w:color="auto"/>
          </w:divBdr>
        </w:div>
      </w:divsChild>
    </w:div>
    <w:div w:id="1523087165">
      <w:bodyDiv w:val="1"/>
      <w:marLeft w:val="0"/>
      <w:marRight w:val="0"/>
      <w:marTop w:val="0"/>
      <w:marBottom w:val="0"/>
      <w:divBdr>
        <w:top w:val="none" w:sz="0" w:space="0" w:color="auto"/>
        <w:left w:val="none" w:sz="0" w:space="0" w:color="auto"/>
        <w:bottom w:val="none" w:sz="0" w:space="0" w:color="auto"/>
        <w:right w:val="none" w:sz="0" w:space="0" w:color="auto"/>
      </w:divBdr>
    </w:div>
    <w:div w:id="1563246708">
      <w:bodyDiv w:val="1"/>
      <w:marLeft w:val="0"/>
      <w:marRight w:val="0"/>
      <w:marTop w:val="0"/>
      <w:marBottom w:val="0"/>
      <w:divBdr>
        <w:top w:val="none" w:sz="0" w:space="0" w:color="auto"/>
        <w:left w:val="none" w:sz="0" w:space="0" w:color="auto"/>
        <w:bottom w:val="none" w:sz="0" w:space="0" w:color="auto"/>
        <w:right w:val="none" w:sz="0" w:space="0" w:color="auto"/>
      </w:divBdr>
    </w:div>
    <w:div w:id="1576432045">
      <w:bodyDiv w:val="1"/>
      <w:marLeft w:val="0"/>
      <w:marRight w:val="0"/>
      <w:marTop w:val="0"/>
      <w:marBottom w:val="0"/>
      <w:divBdr>
        <w:top w:val="none" w:sz="0" w:space="0" w:color="auto"/>
        <w:left w:val="none" w:sz="0" w:space="0" w:color="auto"/>
        <w:bottom w:val="none" w:sz="0" w:space="0" w:color="auto"/>
        <w:right w:val="none" w:sz="0" w:space="0" w:color="auto"/>
      </w:divBdr>
    </w:div>
    <w:div w:id="1599556895">
      <w:bodyDiv w:val="1"/>
      <w:marLeft w:val="0"/>
      <w:marRight w:val="0"/>
      <w:marTop w:val="0"/>
      <w:marBottom w:val="0"/>
      <w:divBdr>
        <w:top w:val="none" w:sz="0" w:space="0" w:color="auto"/>
        <w:left w:val="none" w:sz="0" w:space="0" w:color="auto"/>
        <w:bottom w:val="none" w:sz="0" w:space="0" w:color="auto"/>
        <w:right w:val="none" w:sz="0" w:space="0" w:color="auto"/>
      </w:divBdr>
    </w:div>
    <w:div w:id="1637182665">
      <w:bodyDiv w:val="1"/>
      <w:marLeft w:val="0"/>
      <w:marRight w:val="0"/>
      <w:marTop w:val="0"/>
      <w:marBottom w:val="0"/>
      <w:divBdr>
        <w:top w:val="none" w:sz="0" w:space="0" w:color="auto"/>
        <w:left w:val="none" w:sz="0" w:space="0" w:color="auto"/>
        <w:bottom w:val="none" w:sz="0" w:space="0" w:color="auto"/>
        <w:right w:val="none" w:sz="0" w:space="0" w:color="auto"/>
      </w:divBdr>
    </w:div>
    <w:div w:id="1693413943">
      <w:bodyDiv w:val="1"/>
      <w:marLeft w:val="0"/>
      <w:marRight w:val="0"/>
      <w:marTop w:val="0"/>
      <w:marBottom w:val="0"/>
      <w:divBdr>
        <w:top w:val="none" w:sz="0" w:space="0" w:color="auto"/>
        <w:left w:val="none" w:sz="0" w:space="0" w:color="auto"/>
        <w:bottom w:val="none" w:sz="0" w:space="0" w:color="auto"/>
        <w:right w:val="none" w:sz="0" w:space="0" w:color="auto"/>
      </w:divBdr>
    </w:div>
    <w:div w:id="1731465566">
      <w:bodyDiv w:val="1"/>
      <w:marLeft w:val="0"/>
      <w:marRight w:val="0"/>
      <w:marTop w:val="0"/>
      <w:marBottom w:val="0"/>
      <w:divBdr>
        <w:top w:val="none" w:sz="0" w:space="0" w:color="auto"/>
        <w:left w:val="none" w:sz="0" w:space="0" w:color="auto"/>
        <w:bottom w:val="none" w:sz="0" w:space="0" w:color="auto"/>
        <w:right w:val="none" w:sz="0" w:space="0" w:color="auto"/>
      </w:divBdr>
    </w:div>
    <w:div w:id="1772120240">
      <w:bodyDiv w:val="1"/>
      <w:marLeft w:val="0"/>
      <w:marRight w:val="0"/>
      <w:marTop w:val="0"/>
      <w:marBottom w:val="0"/>
      <w:divBdr>
        <w:top w:val="none" w:sz="0" w:space="0" w:color="auto"/>
        <w:left w:val="none" w:sz="0" w:space="0" w:color="auto"/>
        <w:bottom w:val="none" w:sz="0" w:space="0" w:color="auto"/>
        <w:right w:val="none" w:sz="0" w:space="0" w:color="auto"/>
      </w:divBdr>
    </w:div>
    <w:div w:id="1782921545">
      <w:bodyDiv w:val="1"/>
      <w:marLeft w:val="0"/>
      <w:marRight w:val="0"/>
      <w:marTop w:val="0"/>
      <w:marBottom w:val="0"/>
      <w:divBdr>
        <w:top w:val="none" w:sz="0" w:space="0" w:color="auto"/>
        <w:left w:val="none" w:sz="0" w:space="0" w:color="auto"/>
        <w:bottom w:val="none" w:sz="0" w:space="0" w:color="auto"/>
        <w:right w:val="none" w:sz="0" w:space="0" w:color="auto"/>
      </w:divBdr>
    </w:div>
    <w:div w:id="1782995325">
      <w:bodyDiv w:val="1"/>
      <w:marLeft w:val="0"/>
      <w:marRight w:val="0"/>
      <w:marTop w:val="0"/>
      <w:marBottom w:val="0"/>
      <w:divBdr>
        <w:top w:val="none" w:sz="0" w:space="0" w:color="auto"/>
        <w:left w:val="none" w:sz="0" w:space="0" w:color="auto"/>
        <w:bottom w:val="none" w:sz="0" w:space="0" w:color="auto"/>
        <w:right w:val="none" w:sz="0" w:space="0" w:color="auto"/>
      </w:divBdr>
    </w:div>
    <w:div w:id="1791319762">
      <w:bodyDiv w:val="1"/>
      <w:marLeft w:val="0"/>
      <w:marRight w:val="0"/>
      <w:marTop w:val="0"/>
      <w:marBottom w:val="0"/>
      <w:divBdr>
        <w:top w:val="none" w:sz="0" w:space="0" w:color="auto"/>
        <w:left w:val="none" w:sz="0" w:space="0" w:color="auto"/>
        <w:bottom w:val="none" w:sz="0" w:space="0" w:color="auto"/>
        <w:right w:val="none" w:sz="0" w:space="0" w:color="auto"/>
      </w:divBdr>
    </w:div>
    <w:div w:id="1805155003">
      <w:bodyDiv w:val="1"/>
      <w:marLeft w:val="0"/>
      <w:marRight w:val="0"/>
      <w:marTop w:val="0"/>
      <w:marBottom w:val="0"/>
      <w:divBdr>
        <w:top w:val="none" w:sz="0" w:space="0" w:color="auto"/>
        <w:left w:val="none" w:sz="0" w:space="0" w:color="auto"/>
        <w:bottom w:val="none" w:sz="0" w:space="0" w:color="auto"/>
        <w:right w:val="none" w:sz="0" w:space="0" w:color="auto"/>
      </w:divBdr>
    </w:div>
    <w:div w:id="1829318615">
      <w:bodyDiv w:val="1"/>
      <w:marLeft w:val="0"/>
      <w:marRight w:val="0"/>
      <w:marTop w:val="0"/>
      <w:marBottom w:val="0"/>
      <w:divBdr>
        <w:top w:val="none" w:sz="0" w:space="0" w:color="auto"/>
        <w:left w:val="none" w:sz="0" w:space="0" w:color="auto"/>
        <w:bottom w:val="none" w:sz="0" w:space="0" w:color="auto"/>
        <w:right w:val="none" w:sz="0" w:space="0" w:color="auto"/>
      </w:divBdr>
    </w:div>
    <w:div w:id="1837960777">
      <w:bodyDiv w:val="1"/>
      <w:marLeft w:val="0"/>
      <w:marRight w:val="0"/>
      <w:marTop w:val="0"/>
      <w:marBottom w:val="0"/>
      <w:divBdr>
        <w:top w:val="none" w:sz="0" w:space="0" w:color="auto"/>
        <w:left w:val="none" w:sz="0" w:space="0" w:color="auto"/>
        <w:bottom w:val="none" w:sz="0" w:space="0" w:color="auto"/>
        <w:right w:val="none" w:sz="0" w:space="0" w:color="auto"/>
      </w:divBdr>
    </w:div>
    <w:div w:id="1922828877">
      <w:bodyDiv w:val="1"/>
      <w:marLeft w:val="0"/>
      <w:marRight w:val="0"/>
      <w:marTop w:val="0"/>
      <w:marBottom w:val="0"/>
      <w:divBdr>
        <w:top w:val="none" w:sz="0" w:space="0" w:color="auto"/>
        <w:left w:val="none" w:sz="0" w:space="0" w:color="auto"/>
        <w:bottom w:val="none" w:sz="0" w:space="0" w:color="auto"/>
        <w:right w:val="none" w:sz="0" w:space="0" w:color="auto"/>
      </w:divBdr>
    </w:div>
    <w:div w:id="1946497413">
      <w:bodyDiv w:val="1"/>
      <w:marLeft w:val="0"/>
      <w:marRight w:val="0"/>
      <w:marTop w:val="0"/>
      <w:marBottom w:val="0"/>
      <w:divBdr>
        <w:top w:val="none" w:sz="0" w:space="0" w:color="auto"/>
        <w:left w:val="none" w:sz="0" w:space="0" w:color="auto"/>
        <w:bottom w:val="none" w:sz="0" w:space="0" w:color="auto"/>
        <w:right w:val="none" w:sz="0" w:space="0" w:color="auto"/>
      </w:divBdr>
    </w:div>
    <w:div w:id="2046370717">
      <w:bodyDiv w:val="1"/>
      <w:marLeft w:val="0"/>
      <w:marRight w:val="0"/>
      <w:marTop w:val="0"/>
      <w:marBottom w:val="0"/>
      <w:divBdr>
        <w:top w:val="none" w:sz="0" w:space="0" w:color="auto"/>
        <w:left w:val="none" w:sz="0" w:space="0" w:color="auto"/>
        <w:bottom w:val="none" w:sz="0" w:space="0" w:color="auto"/>
        <w:right w:val="none" w:sz="0" w:space="0" w:color="auto"/>
      </w:divBdr>
    </w:div>
    <w:div w:id="2051492600">
      <w:bodyDiv w:val="1"/>
      <w:marLeft w:val="0"/>
      <w:marRight w:val="0"/>
      <w:marTop w:val="0"/>
      <w:marBottom w:val="0"/>
      <w:divBdr>
        <w:top w:val="none" w:sz="0" w:space="0" w:color="auto"/>
        <w:left w:val="none" w:sz="0" w:space="0" w:color="auto"/>
        <w:bottom w:val="none" w:sz="0" w:space="0" w:color="auto"/>
        <w:right w:val="none" w:sz="0" w:space="0" w:color="auto"/>
      </w:divBdr>
    </w:div>
    <w:div w:id="2077895311">
      <w:bodyDiv w:val="1"/>
      <w:marLeft w:val="0"/>
      <w:marRight w:val="0"/>
      <w:marTop w:val="0"/>
      <w:marBottom w:val="0"/>
      <w:divBdr>
        <w:top w:val="none" w:sz="0" w:space="0" w:color="auto"/>
        <w:left w:val="none" w:sz="0" w:space="0" w:color="auto"/>
        <w:bottom w:val="none" w:sz="0" w:space="0" w:color="auto"/>
        <w:right w:val="none" w:sz="0" w:space="0" w:color="auto"/>
      </w:divBdr>
    </w:div>
    <w:div w:id="213748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an.gomez@manpowergroup.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la.diaz@manpowergroup.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municacion.manpowergroup@havas.com" TargetMode="External"/><Relationship Id="rId4" Type="http://schemas.openxmlformats.org/officeDocument/2006/relationships/settings" Target="settings.xml"/><Relationship Id="rId9" Type="http://schemas.openxmlformats.org/officeDocument/2006/relationships/hyperlink" Target="http://www.manpowergroup.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51664-C86E-4AA0-BC64-DDE645A0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Application>Microsoft Office Word</Application>
  <Company/>
  <Manager/>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2000-01-01T00:00:00Z</dcterms:created>
  <dcterms:modified xsi:type="dcterms:W3CDTF">2000-01-01T00:00:00Z</dcterms:modified>
</cp:coreProperties>
</file>