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B5C8F" w14:textId="697BF163" w:rsidR="001A2A76" w:rsidRPr="00687087" w:rsidRDefault="001A2A76" w:rsidP="001A2A76">
      <w:pPr>
        <w:pBdr>
          <w:top w:val="nil"/>
          <w:left w:val="nil"/>
          <w:bottom w:val="nil"/>
          <w:right w:val="nil"/>
          <w:between w:val="nil"/>
        </w:pBdr>
        <w:spacing w:line="276" w:lineRule="auto"/>
        <w:jc w:val="center"/>
        <w:rPr>
          <w:rFonts w:ascii="Arial" w:eastAsia="Arial" w:hAnsi="Arial" w:cs="Arial"/>
          <w:b/>
          <w:color w:val="000000"/>
          <w:sz w:val="20"/>
          <w:szCs w:val="20"/>
          <w:u w:val="single"/>
        </w:rPr>
      </w:pPr>
      <w:r w:rsidRPr="00687087">
        <w:rPr>
          <w:rFonts w:ascii="Arial" w:eastAsia="Arial" w:hAnsi="Arial" w:cs="Arial"/>
          <w:b/>
          <w:color w:val="000000"/>
          <w:sz w:val="20"/>
          <w:szCs w:val="20"/>
          <w:u w:val="single"/>
        </w:rPr>
        <w:t xml:space="preserve">Estudio de Proyección de Empleo de ManpowerGroup para </w:t>
      </w:r>
      <w:r w:rsidR="00D21BC9">
        <w:rPr>
          <w:rFonts w:ascii="Arial" w:eastAsia="Arial" w:hAnsi="Arial" w:cs="Arial"/>
          <w:b/>
          <w:color w:val="000000"/>
          <w:sz w:val="20"/>
          <w:szCs w:val="20"/>
          <w:u w:val="single"/>
        </w:rPr>
        <w:t>julio-septiembre</w:t>
      </w:r>
      <w:r w:rsidRPr="00687087">
        <w:rPr>
          <w:rFonts w:ascii="Arial" w:eastAsia="Arial" w:hAnsi="Arial" w:cs="Arial"/>
          <w:b/>
          <w:color w:val="000000"/>
          <w:sz w:val="20"/>
          <w:szCs w:val="20"/>
          <w:u w:val="single"/>
        </w:rPr>
        <w:t xml:space="preserve"> 202</w:t>
      </w:r>
      <w:r w:rsidR="00D7641E" w:rsidRPr="00687087">
        <w:rPr>
          <w:rFonts w:ascii="Arial" w:eastAsia="Arial" w:hAnsi="Arial" w:cs="Arial"/>
          <w:b/>
          <w:color w:val="000000"/>
          <w:sz w:val="20"/>
          <w:szCs w:val="20"/>
          <w:u w:val="single"/>
        </w:rPr>
        <w:t>3</w:t>
      </w:r>
    </w:p>
    <w:p w14:paraId="16AAD25D" w14:textId="221F3DE5" w:rsidR="001A2A76" w:rsidRPr="00687087" w:rsidRDefault="001A2A76" w:rsidP="001A2A76">
      <w:pPr>
        <w:pBdr>
          <w:top w:val="nil"/>
          <w:left w:val="nil"/>
          <w:bottom w:val="nil"/>
          <w:right w:val="nil"/>
          <w:between w:val="nil"/>
        </w:pBdr>
        <w:spacing w:line="276" w:lineRule="auto"/>
        <w:jc w:val="center"/>
        <w:rPr>
          <w:rFonts w:ascii="Arial" w:eastAsia="Arial" w:hAnsi="Arial" w:cs="Arial"/>
          <w:b/>
          <w:color w:val="000000"/>
          <w:sz w:val="20"/>
          <w:szCs w:val="20"/>
          <w:u w:val="single"/>
        </w:rPr>
      </w:pPr>
    </w:p>
    <w:p w14:paraId="51BF2B58" w14:textId="3915D0AD" w:rsidR="00D21BC9" w:rsidRPr="00C952AF" w:rsidRDefault="000068C6" w:rsidP="004612C2">
      <w:pPr>
        <w:pStyle w:val="Prrafodelista"/>
        <w:spacing w:line="276" w:lineRule="auto"/>
        <w:ind w:left="567" w:right="566"/>
        <w:jc w:val="center"/>
        <w:rPr>
          <w:rFonts w:ascii="Arial" w:eastAsia="Arial" w:hAnsi="Arial" w:cs="Arial"/>
          <w:b/>
          <w:bCs/>
          <w:sz w:val="36"/>
          <w:szCs w:val="36"/>
        </w:rPr>
      </w:pPr>
      <w:r>
        <w:rPr>
          <w:rFonts w:ascii="Arial" w:eastAsia="Arial" w:hAnsi="Arial" w:cs="Arial"/>
          <w:b/>
          <w:bCs/>
          <w:sz w:val="36"/>
          <w:szCs w:val="36"/>
        </w:rPr>
        <w:t>L</w:t>
      </w:r>
      <w:r w:rsidR="00F17A4D">
        <w:rPr>
          <w:rFonts w:ascii="Arial" w:eastAsia="Arial" w:hAnsi="Arial" w:cs="Arial"/>
          <w:b/>
          <w:bCs/>
          <w:sz w:val="36"/>
          <w:szCs w:val="36"/>
        </w:rPr>
        <w:t>os empresarios españoles se lanzan a contratar en verano</w:t>
      </w:r>
    </w:p>
    <w:p w14:paraId="54A29CFD" w14:textId="3CD3444A" w:rsidR="00231877" w:rsidRDefault="00231877" w:rsidP="00231877">
      <w:pPr>
        <w:spacing w:line="276" w:lineRule="auto"/>
        <w:jc w:val="both"/>
        <w:rPr>
          <w:rFonts w:ascii="Arial" w:eastAsia="Arial" w:hAnsi="Arial" w:cs="Arial"/>
          <w:b/>
          <w:sz w:val="23"/>
          <w:szCs w:val="23"/>
        </w:rPr>
      </w:pPr>
      <w:bookmarkStart w:id="0" w:name="_Hlk113557077"/>
    </w:p>
    <w:p w14:paraId="0FEFA3D3" w14:textId="77777777" w:rsidR="00231877" w:rsidRPr="00231877" w:rsidRDefault="00231877" w:rsidP="00231877">
      <w:pPr>
        <w:spacing w:line="276" w:lineRule="auto"/>
        <w:jc w:val="both"/>
        <w:rPr>
          <w:rFonts w:ascii="Arial" w:eastAsia="Arial" w:hAnsi="Arial" w:cs="Arial"/>
          <w:b/>
          <w:sz w:val="23"/>
          <w:szCs w:val="23"/>
        </w:rPr>
      </w:pPr>
    </w:p>
    <w:p w14:paraId="384FF317" w14:textId="6EBD99AF" w:rsidR="000068C6" w:rsidRDefault="00F17A4D" w:rsidP="000068C6">
      <w:pPr>
        <w:pStyle w:val="Prrafodelista"/>
        <w:numPr>
          <w:ilvl w:val="0"/>
          <w:numId w:val="1"/>
        </w:numPr>
        <w:spacing w:line="276" w:lineRule="auto"/>
        <w:jc w:val="both"/>
        <w:rPr>
          <w:rFonts w:ascii="Arial" w:eastAsia="Arial" w:hAnsi="Arial" w:cs="Arial"/>
          <w:b/>
          <w:sz w:val="23"/>
          <w:szCs w:val="23"/>
        </w:rPr>
      </w:pPr>
      <w:r>
        <w:rPr>
          <w:rFonts w:ascii="Arial" w:eastAsia="Arial" w:hAnsi="Arial" w:cs="Arial"/>
          <w:b/>
          <w:sz w:val="23"/>
          <w:szCs w:val="23"/>
        </w:rPr>
        <w:t xml:space="preserve">Vuelve el optimismo a las empresas españolas: proyectan generación de empleo </w:t>
      </w:r>
      <w:r w:rsidR="00DD4924">
        <w:rPr>
          <w:rFonts w:ascii="Arial" w:eastAsia="Arial" w:hAnsi="Arial" w:cs="Arial"/>
          <w:b/>
          <w:sz w:val="23"/>
          <w:szCs w:val="23"/>
        </w:rPr>
        <w:t xml:space="preserve">para el tercer trimestre con un resultado neto </w:t>
      </w:r>
      <w:r>
        <w:rPr>
          <w:rFonts w:ascii="Arial" w:eastAsia="Arial" w:hAnsi="Arial" w:cs="Arial"/>
          <w:b/>
          <w:sz w:val="23"/>
          <w:szCs w:val="23"/>
        </w:rPr>
        <w:t>del 20%</w:t>
      </w:r>
      <w:r w:rsidR="000068C6">
        <w:rPr>
          <w:rFonts w:ascii="Arial" w:eastAsia="Arial" w:hAnsi="Arial" w:cs="Arial"/>
          <w:b/>
          <w:sz w:val="23"/>
          <w:szCs w:val="23"/>
        </w:rPr>
        <w:t>.</w:t>
      </w:r>
    </w:p>
    <w:p w14:paraId="65ED7167" w14:textId="77777777" w:rsidR="000068C6" w:rsidRDefault="000068C6" w:rsidP="000068C6">
      <w:pPr>
        <w:pStyle w:val="Prrafodelista"/>
        <w:spacing w:line="276" w:lineRule="auto"/>
        <w:jc w:val="both"/>
        <w:rPr>
          <w:rFonts w:ascii="Arial" w:eastAsia="Arial" w:hAnsi="Arial" w:cs="Arial"/>
          <w:b/>
          <w:sz w:val="23"/>
          <w:szCs w:val="23"/>
        </w:rPr>
      </w:pPr>
    </w:p>
    <w:p w14:paraId="7309ADF1" w14:textId="55FFE5BB" w:rsidR="00894DEA" w:rsidRDefault="00F17A4D" w:rsidP="000068C6">
      <w:pPr>
        <w:pStyle w:val="Prrafodelista"/>
        <w:numPr>
          <w:ilvl w:val="0"/>
          <w:numId w:val="1"/>
        </w:numPr>
        <w:spacing w:line="276" w:lineRule="auto"/>
        <w:jc w:val="both"/>
        <w:rPr>
          <w:rFonts w:ascii="Arial" w:eastAsia="Arial" w:hAnsi="Arial" w:cs="Arial"/>
          <w:b/>
          <w:sz w:val="23"/>
          <w:szCs w:val="23"/>
        </w:rPr>
      </w:pPr>
      <w:r w:rsidRPr="000068C6">
        <w:rPr>
          <w:rFonts w:ascii="Arial" w:eastAsia="Arial" w:hAnsi="Arial" w:cs="Arial"/>
          <w:b/>
          <w:sz w:val="23"/>
          <w:szCs w:val="23"/>
        </w:rPr>
        <w:t>Ligeramente por debajo de la media global, España se sitúa en línea con</w:t>
      </w:r>
      <w:r w:rsidR="00663580">
        <w:rPr>
          <w:rFonts w:ascii="Arial" w:eastAsia="Arial" w:hAnsi="Arial" w:cs="Arial"/>
          <w:b/>
          <w:sz w:val="23"/>
          <w:szCs w:val="23"/>
        </w:rPr>
        <w:t xml:space="preserve"> el mercado f</w:t>
      </w:r>
      <w:r w:rsidRPr="000068C6">
        <w:rPr>
          <w:rFonts w:ascii="Arial" w:eastAsia="Arial" w:hAnsi="Arial" w:cs="Arial"/>
          <w:b/>
          <w:sz w:val="23"/>
          <w:szCs w:val="23"/>
        </w:rPr>
        <w:t>ranc</w:t>
      </w:r>
      <w:r w:rsidR="00663580">
        <w:rPr>
          <w:rFonts w:ascii="Arial" w:eastAsia="Arial" w:hAnsi="Arial" w:cs="Arial"/>
          <w:b/>
          <w:sz w:val="23"/>
          <w:szCs w:val="23"/>
        </w:rPr>
        <w:t>és</w:t>
      </w:r>
      <w:r w:rsidR="000068C6">
        <w:rPr>
          <w:rFonts w:ascii="Arial" w:eastAsia="Arial" w:hAnsi="Arial" w:cs="Arial"/>
          <w:b/>
          <w:sz w:val="23"/>
          <w:szCs w:val="23"/>
        </w:rPr>
        <w:t xml:space="preserve"> (21%)</w:t>
      </w:r>
      <w:r w:rsidR="00401989">
        <w:rPr>
          <w:rFonts w:ascii="Arial" w:eastAsia="Arial" w:hAnsi="Arial" w:cs="Arial"/>
          <w:b/>
          <w:sz w:val="23"/>
          <w:szCs w:val="23"/>
        </w:rPr>
        <w:t>,</w:t>
      </w:r>
      <w:r w:rsidR="000068C6">
        <w:rPr>
          <w:rFonts w:ascii="Arial" w:eastAsia="Arial" w:hAnsi="Arial" w:cs="Arial"/>
          <w:b/>
          <w:sz w:val="23"/>
          <w:szCs w:val="23"/>
        </w:rPr>
        <w:t xml:space="preserve"> y por delante de Italia (11%).</w:t>
      </w:r>
    </w:p>
    <w:p w14:paraId="78408E9D" w14:textId="77777777" w:rsidR="000068C6" w:rsidRPr="000068C6" w:rsidRDefault="000068C6" w:rsidP="000068C6">
      <w:pPr>
        <w:pStyle w:val="Prrafodelista"/>
        <w:rPr>
          <w:rFonts w:ascii="Arial" w:eastAsia="Arial" w:hAnsi="Arial" w:cs="Arial"/>
          <w:b/>
          <w:sz w:val="23"/>
          <w:szCs w:val="23"/>
        </w:rPr>
      </w:pPr>
    </w:p>
    <w:p w14:paraId="44AE080C" w14:textId="257A1DD1" w:rsidR="00894DEA" w:rsidRDefault="00894DEA" w:rsidP="00894DEA">
      <w:pPr>
        <w:pStyle w:val="Prrafodelista"/>
        <w:numPr>
          <w:ilvl w:val="0"/>
          <w:numId w:val="1"/>
        </w:numPr>
        <w:spacing w:line="276" w:lineRule="auto"/>
        <w:jc w:val="both"/>
        <w:rPr>
          <w:rFonts w:ascii="Arial" w:eastAsia="Arial" w:hAnsi="Arial" w:cs="Arial"/>
          <w:b/>
          <w:bCs/>
          <w:sz w:val="22"/>
          <w:szCs w:val="22"/>
        </w:rPr>
      </w:pPr>
      <w:r w:rsidRPr="00894DEA">
        <w:rPr>
          <w:rFonts w:ascii="Arial" w:eastAsia="Arial" w:hAnsi="Arial" w:cs="Arial"/>
          <w:b/>
          <w:bCs/>
          <w:sz w:val="22"/>
          <w:szCs w:val="22"/>
        </w:rPr>
        <w:t xml:space="preserve">Salud y </w:t>
      </w:r>
      <w:r w:rsidR="002A78A1">
        <w:rPr>
          <w:rFonts w:ascii="Arial" w:eastAsia="Arial" w:hAnsi="Arial" w:cs="Arial"/>
          <w:b/>
          <w:bCs/>
          <w:sz w:val="22"/>
          <w:szCs w:val="22"/>
        </w:rPr>
        <w:t>f</w:t>
      </w:r>
      <w:r w:rsidRPr="00894DEA">
        <w:rPr>
          <w:rFonts w:ascii="Arial" w:eastAsia="Arial" w:hAnsi="Arial" w:cs="Arial"/>
          <w:b/>
          <w:bCs/>
          <w:sz w:val="22"/>
          <w:szCs w:val="22"/>
        </w:rPr>
        <w:t xml:space="preserve">armacia </w:t>
      </w:r>
      <w:r w:rsidR="00F17A4D">
        <w:rPr>
          <w:rFonts w:ascii="Arial" w:eastAsia="Arial" w:hAnsi="Arial" w:cs="Arial"/>
          <w:b/>
          <w:bCs/>
          <w:sz w:val="22"/>
          <w:szCs w:val="22"/>
        </w:rPr>
        <w:t xml:space="preserve">hacen ‘su agosto’ y </w:t>
      </w:r>
      <w:r w:rsidRPr="00894DEA">
        <w:rPr>
          <w:rFonts w:ascii="Arial" w:eastAsia="Arial" w:hAnsi="Arial" w:cs="Arial"/>
          <w:b/>
          <w:bCs/>
          <w:sz w:val="22"/>
          <w:szCs w:val="22"/>
        </w:rPr>
        <w:t xml:space="preserve">encabezan las </w:t>
      </w:r>
      <w:r w:rsidR="002A78A1">
        <w:rPr>
          <w:rFonts w:ascii="Arial" w:eastAsia="Arial" w:hAnsi="Arial" w:cs="Arial"/>
          <w:b/>
          <w:bCs/>
          <w:sz w:val="22"/>
          <w:szCs w:val="22"/>
        </w:rPr>
        <w:t xml:space="preserve">previsiones de </w:t>
      </w:r>
      <w:r w:rsidRPr="00894DEA">
        <w:rPr>
          <w:rFonts w:ascii="Arial" w:eastAsia="Arial" w:hAnsi="Arial" w:cs="Arial"/>
          <w:b/>
          <w:bCs/>
          <w:sz w:val="22"/>
          <w:szCs w:val="22"/>
        </w:rPr>
        <w:t>contrataci</w:t>
      </w:r>
      <w:r w:rsidR="002A78A1">
        <w:rPr>
          <w:rFonts w:ascii="Arial" w:eastAsia="Arial" w:hAnsi="Arial" w:cs="Arial"/>
          <w:b/>
          <w:bCs/>
          <w:sz w:val="22"/>
          <w:szCs w:val="22"/>
        </w:rPr>
        <w:t>ón</w:t>
      </w:r>
      <w:r w:rsidRPr="00894DEA">
        <w:rPr>
          <w:rFonts w:ascii="Arial" w:eastAsia="Arial" w:hAnsi="Arial" w:cs="Arial"/>
          <w:b/>
          <w:bCs/>
          <w:sz w:val="22"/>
          <w:szCs w:val="22"/>
        </w:rPr>
        <w:t xml:space="preserve"> para el periodo estival</w:t>
      </w:r>
      <w:r>
        <w:rPr>
          <w:rFonts w:ascii="Arial" w:eastAsia="Arial" w:hAnsi="Arial" w:cs="Arial"/>
          <w:b/>
          <w:bCs/>
          <w:sz w:val="22"/>
          <w:szCs w:val="22"/>
        </w:rPr>
        <w:t>, con una proyección del 33%</w:t>
      </w:r>
      <w:r w:rsidR="00F17A4D">
        <w:rPr>
          <w:rFonts w:ascii="Arial" w:eastAsia="Arial" w:hAnsi="Arial" w:cs="Arial"/>
          <w:b/>
          <w:bCs/>
          <w:sz w:val="22"/>
          <w:szCs w:val="22"/>
        </w:rPr>
        <w:t>; c</w:t>
      </w:r>
      <w:r>
        <w:rPr>
          <w:rFonts w:ascii="Arial" w:eastAsia="Arial" w:hAnsi="Arial" w:cs="Arial"/>
          <w:b/>
          <w:bCs/>
          <w:sz w:val="22"/>
          <w:szCs w:val="22"/>
        </w:rPr>
        <w:t xml:space="preserve">ompletan el top 3 </w:t>
      </w:r>
      <w:r w:rsidR="002A78A1">
        <w:rPr>
          <w:rFonts w:ascii="Arial" w:eastAsia="Arial" w:hAnsi="Arial" w:cs="Arial"/>
          <w:b/>
          <w:bCs/>
          <w:sz w:val="22"/>
          <w:szCs w:val="22"/>
        </w:rPr>
        <w:t xml:space="preserve">Energía y suministros </w:t>
      </w:r>
      <w:r>
        <w:rPr>
          <w:rFonts w:ascii="Arial" w:eastAsia="Arial" w:hAnsi="Arial" w:cs="Arial"/>
          <w:b/>
          <w:bCs/>
          <w:sz w:val="22"/>
          <w:szCs w:val="22"/>
        </w:rPr>
        <w:t xml:space="preserve">(31%) </w:t>
      </w:r>
      <w:r w:rsidR="002A78A1">
        <w:rPr>
          <w:rFonts w:ascii="Arial" w:eastAsia="Arial" w:hAnsi="Arial" w:cs="Arial"/>
          <w:b/>
          <w:bCs/>
          <w:sz w:val="22"/>
          <w:szCs w:val="22"/>
        </w:rPr>
        <w:t>y Tecnología</w:t>
      </w:r>
      <w:r>
        <w:rPr>
          <w:rFonts w:ascii="Arial" w:eastAsia="Arial" w:hAnsi="Arial" w:cs="Arial"/>
          <w:b/>
          <w:bCs/>
          <w:sz w:val="22"/>
          <w:szCs w:val="22"/>
        </w:rPr>
        <w:t xml:space="preserve"> (27%).</w:t>
      </w:r>
    </w:p>
    <w:p w14:paraId="30EA3F22" w14:textId="77777777" w:rsidR="00894DEA" w:rsidRPr="00894DEA" w:rsidRDefault="00894DEA" w:rsidP="00894DEA">
      <w:pPr>
        <w:pStyle w:val="Prrafodelista"/>
        <w:rPr>
          <w:rFonts w:ascii="Arial" w:eastAsia="Arial" w:hAnsi="Arial" w:cs="Arial"/>
          <w:b/>
          <w:bCs/>
          <w:sz w:val="22"/>
          <w:szCs w:val="22"/>
        </w:rPr>
      </w:pPr>
    </w:p>
    <w:p w14:paraId="39A43A82" w14:textId="38B5D5DE" w:rsidR="00894DEA" w:rsidRPr="00894DEA" w:rsidRDefault="00894DEA" w:rsidP="00BA1AF9">
      <w:pPr>
        <w:pStyle w:val="Prrafodelista"/>
        <w:numPr>
          <w:ilvl w:val="0"/>
          <w:numId w:val="1"/>
        </w:numPr>
        <w:spacing w:line="276" w:lineRule="auto"/>
        <w:jc w:val="both"/>
        <w:rPr>
          <w:rFonts w:ascii="Arial" w:eastAsiaTheme="minorEastAsia" w:hAnsi="Arial" w:cs="Arial"/>
          <w:b/>
          <w:bCs/>
          <w:sz w:val="22"/>
          <w:szCs w:val="22"/>
          <w:lang w:eastAsia="zh-CN"/>
        </w:rPr>
      </w:pPr>
      <w:r w:rsidRPr="00894DEA">
        <w:rPr>
          <w:rFonts w:ascii="Arial" w:eastAsia="Arial" w:hAnsi="Arial" w:cs="Arial"/>
          <w:b/>
          <w:bCs/>
          <w:sz w:val="22"/>
          <w:szCs w:val="22"/>
        </w:rPr>
        <w:t xml:space="preserve">Cataluña y Baleares (29%) son las regiones </w:t>
      </w:r>
      <w:r w:rsidR="002A78A1">
        <w:rPr>
          <w:rFonts w:ascii="Arial" w:eastAsia="Arial" w:hAnsi="Arial" w:cs="Arial"/>
          <w:b/>
          <w:bCs/>
          <w:sz w:val="22"/>
          <w:szCs w:val="22"/>
        </w:rPr>
        <w:t>con mejores previsiones para este verano, mientras que e</w:t>
      </w:r>
      <w:r w:rsidRPr="00894DEA">
        <w:rPr>
          <w:rFonts w:ascii="Arial" w:eastAsia="Arial" w:hAnsi="Arial" w:cs="Arial"/>
          <w:b/>
          <w:bCs/>
          <w:sz w:val="22"/>
          <w:szCs w:val="22"/>
        </w:rPr>
        <w:t>n el lado</w:t>
      </w:r>
      <w:r w:rsidR="002A78A1">
        <w:rPr>
          <w:rFonts w:ascii="Arial" w:eastAsia="Arial" w:hAnsi="Arial" w:cs="Arial"/>
          <w:b/>
          <w:bCs/>
          <w:sz w:val="22"/>
          <w:szCs w:val="22"/>
        </w:rPr>
        <w:t xml:space="preserve"> opuesto</w:t>
      </w:r>
      <w:r w:rsidRPr="00894DEA">
        <w:rPr>
          <w:rFonts w:ascii="Arial" w:eastAsia="Arial" w:hAnsi="Arial" w:cs="Arial"/>
          <w:b/>
          <w:bCs/>
          <w:sz w:val="22"/>
          <w:szCs w:val="22"/>
        </w:rPr>
        <w:t xml:space="preserve"> </w:t>
      </w:r>
      <w:r w:rsidR="002A78A1">
        <w:rPr>
          <w:rFonts w:ascii="Arial" w:eastAsia="Arial" w:hAnsi="Arial" w:cs="Arial"/>
          <w:b/>
          <w:bCs/>
          <w:sz w:val="22"/>
          <w:szCs w:val="22"/>
        </w:rPr>
        <w:t xml:space="preserve">están </w:t>
      </w:r>
      <w:r w:rsidRPr="00894DEA">
        <w:rPr>
          <w:rFonts w:ascii="Arial" w:eastAsiaTheme="minorEastAsia" w:hAnsi="Arial" w:cs="Arial"/>
          <w:b/>
          <w:bCs/>
          <w:sz w:val="22"/>
          <w:szCs w:val="22"/>
          <w:lang w:eastAsia="zh-CN"/>
        </w:rPr>
        <w:t xml:space="preserve">Norte y Noroeste, </w:t>
      </w:r>
      <w:r w:rsidR="002A78A1">
        <w:rPr>
          <w:rFonts w:ascii="Arial" w:eastAsiaTheme="minorEastAsia" w:hAnsi="Arial" w:cs="Arial"/>
          <w:b/>
          <w:bCs/>
          <w:sz w:val="22"/>
          <w:szCs w:val="22"/>
          <w:lang w:eastAsia="zh-CN"/>
        </w:rPr>
        <w:t xml:space="preserve">ambas </w:t>
      </w:r>
      <w:r w:rsidRPr="00894DEA">
        <w:rPr>
          <w:rFonts w:ascii="Arial" w:eastAsiaTheme="minorEastAsia" w:hAnsi="Arial" w:cs="Arial"/>
          <w:b/>
          <w:bCs/>
          <w:sz w:val="22"/>
          <w:szCs w:val="22"/>
          <w:lang w:eastAsia="zh-CN"/>
        </w:rPr>
        <w:t>con un 14%.</w:t>
      </w:r>
    </w:p>
    <w:p w14:paraId="6C656DF5" w14:textId="77777777" w:rsidR="00894DEA" w:rsidRDefault="00894DEA" w:rsidP="00894DEA">
      <w:pPr>
        <w:spacing w:line="276" w:lineRule="auto"/>
        <w:jc w:val="both"/>
        <w:rPr>
          <w:rFonts w:ascii="Arial" w:eastAsiaTheme="minorEastAsia" w:hAnsi="Arial" w:cs="Arial"/>
          <w:sz w:val="22"/>
          <w:szCs w:val="22"/>
          <w:lang w:eastAsia="zh-CN"/>
        </w:rPr>
      </w:pPr>
    </w:p>
    <w:bookmarkEnd w:id="0"/>
    <w:p w14:paraId="2B30CA9A" w14:textId="77777777" w:rsidR="00533536" w:rsidRDefault="00533536" w:rsidP="00BF7FDF">
      <w:pPr>
        <w:spacing w:line="276" w:lineRule="auto"/>
        <w:jc w:val="both"/>
        <w:rPr>
          <w:rFonts w:ascii="Arial" w:eastAsia="Arial" w:hAnsi="Arial" w:cs="Arial"/>
          <w:b/>
          <w:sz w:val="22"/>
          <w:szCs w:val="22"/>
        </w:rPr>
      </w:pPr>
    </w:p>
    <w:p w14:paraId="35F58C8C" w14:textId="323CCDFD" w:rsidR="00BF7FDF" w:rsidRDefault="001A2A76" w:rsidP="00BF7FDF">
      <w:pPr>
        <w:spacing w:line="276" w:lineRule="auto"/>
        <w:jc w:val="both"/>
        <w:rPr>
          <w:rFonts w:ascii="Arial" w:eastAsia="Arial" w:hAnsi="Arial" w:cs="Arial"/>
          <w:bCs/>
          <w:sz w:val="22"/>
          <w:szCs w:val="22"/>
        </w:rPr>
      </w:pPr>
      <w:r w:rsidRPr="00687087">
        <w:rPr>
          <w:rFonts w:ascii="Arial" w:eastAsia="Arial" w:hAnsi="Arial" w:cs="Arial"/>
          <w:b/>
          <w:sz w:val="22"/>
          <w:szCs w:val="22"/>
        </w:rPr>
        <w:t xml:space="preserve">Madrid, </w:t>
      </w:r>
      <w:r w:rsidR="00380B8C">
        <w:rPr>
          <w:rFonts w:ascii="Arial" w:eastAsia="Arial" w:hAnsi="Arial" w:cs="Arial"/>
          <w:b/>
          <w:sz w:val="22"/>
          <w:szCs w:val="22"/>
        </w:rPr>
        <w:t>13 de junio</w:t>
      </w:r>
      <w:r w:rsidR="00D7641E" w:rsidRPr="00687087">
        <w:rPr>
          <w:rFonts w:ascii="Arial" w:eastAsia="Arial" w:hAnsi="Arial" w:cs="Arial"/>
          <w:b/>
          <w:sz w:val="22"/>
          <w:szCs w:val="22"/>
        </w:rPr>
        <w:t xml:space="preserve"> </w:t>
      </w:r>
      <w:r w:rsidRPr="00687087">
        <w:rPr>
          <w:rFonts w:ascii="Arial" w:eastAsia="Arial" w:hAnsi="Arial" w:cs="Arial"/>
          <w:b/>
          <w:sz w:val="22"/>
          <w:szCs w:val="22"/>
        </w:rPr>
        <w:t>de 202</w:t>
      </w:r>
      <w:r w:rsidR="00D7641E" w:rsidRPr="00687087">
        <w:rPr>
          <w:rFonts w:ascii="Arial" w:eastAsia="Arial" w:hAnsi="Arial" w:cs="Arial"/>
          <w:b/>
          <w:sz w:val="22"/>
          <w:szCs w:val="22"/>
        </w:rPr>
        <w:t>3</w:t>
      </w:r>
      <w:r w:rsidRPr="00687087">
        <w:rPr>
          <w:rFonts w:ascii="Arial" w:eastAsia="Arial" w:hAnsi="Arial" w:cs="Arial"/>
          <w:b/>
          <w:sz w:val="22"/>
          <w:szCs w:val="22"/>
        </w:rPr>
        <w:t>.-</w:t>
      </w:r>
      <w:bookmarkStart w:id="1" w:name="_Hlk113557102"/>
      <w:bookmarkStart w:id="2" w:name="_Hlk90223537"/>
      <w:bookmarkStart w:id="3" w:name="_Hlk89449303"/>
      <w:bookmarkStart w:id="4" w:name="_Hlk89449332"/>
      <w:r w:rsidR="005D1AE9" w:rsidRPr="00687087">
        <w:rPr>
          <w:rFonts w:ascii="Arial" w:eastAsia="Arial" w:hAnsi="Arial" w:cs="Arial"/>
          <w:b/>
          <w:sz w:val="22"/>
          <w:szCs w:val="22"/>
        </w:rPr>
        <w:t xml:space="preserve"> </w:t>
      </w:r>
      <w:bookmarkStart w:id="5" w:name="_Hlk137140302"/>
      <w:r w:rsidR="002A78A1">
        <w:rPr>
          <w:rFonts w:ascii="Arial" w:eastAsia="Arial" w:hAnsi="Arial" w:cs="Arial"/>
          <w:bCs/>
          <w:sz w:val="22"/>
          <w:szCs w:val="22"/>
        </w:rPr>
        <w:t xml:space="preserve">Las empresas españolas anticipan un periodo positivo </w:t>
      </w:r>
      <w:r w:rsidR="005E0E99">
        <w:rPr>
          <w:rFonts w:ascii="Arial" w:eastAsia="Arial" w:hAnsi="Arial" w:cs="Arial"/>
          <w:bCs/>
          <w:sz w:val="22"/>
          <w:szCs w:val="22"/>
        </w:rPr>
        <w:t xml:space="preserve">de contrataciones </w:t>
      </w:r>
      <w:r w:rsidR="002A78A1">
        <w:rPr>
          <w:rFonts w:ascii="Arial" w:eastAsia="Arial" w:hAnsi="Arial" w:cs="Arial"/>
          <w:bCs/>
          <w:sz w:val="22"/>
          <w:szCs w:val="22"/>
        </w:rPr>
        <w:t xml:space="preserve">de cara al </w:t>
      </w:r>
      <w:r w:rsidR="00205D68">
        <w:rPr>
          <w:rFonts w:ascii="Arial" w:eastAsia="Arial" w:hAnsi="Arial" w:cs="Arial"/>
          <w:bCs/>
          <w:sz w:val="22"/>
          <w:szCs w:val="22"/>
        </w:rPr>
        <w:t>verano. Más allá d</w:t>
      </w:r>
      <w:r w:rsidR="00BF7FDF">
        <w:rPr>
          <w:rFonts w:ascii="Arial" w:eastAsia="Arial" w:hAnsi="Arial" w:cs="Arial"/>
          <w:bCs/>
          <w:sz w:val="22"/>
          <w:szCs w:val="22"/>
        </w:rPr>
        <w:t>el</w:t>
      </w:r>
      <w:r w:rsidR="008F077C">
        <w:rPr>
          <w:rFonts w:ascii="Arial" w:eastAsia="Arial" w:hAnsi="Arial" w:cs="Arial"/>
          <w:bCs/>
          <w:sz w:val="22"/>
          <w:szCs w:val="22"/>
        </w:rPr>
        <w:t xml:space="preserve"> máximo histórico de 20,8 millones de ocupados</w:t>
      </w:r>
      <w:r w:rsidR="00BF7FDF">
        <w:rPr>
          <w:rFonts w:ascii="Arial" w:eastAsia="Arial" w:hAnsi="Arial" w:cs="Arial"/>
          <w:bCs/>
          <w:sz w:val="22"/>
          <w:szCs w:val="22"/>
        </w:rPr>
        <w:t xml:space="preserve"> a cierre del mes de mayo </w:t>
      </w:r>
      <w:r w:rsidR="00205D68">
        <w:rPr>
          <w:rFonts w:ascii="Arial" w:eastAsia="Arial" w:hAnsi="Arial" w:cs="Arial"/>
          <w:bCs/>
          <w:sz w:val="22"/>
          <w:szCs w:val="22"/>
        </w:rPr>
        <w:t xml:space="preserve">que registró </w:t>
      </w:r>
      <w:r w:rsidR="00BF7FDF">
        <w:rPr>
          <w:rFonts w:ascii="Arial" w:eastAsia="Arial" w:hAnsi="Arial" w:cs="Arial"/>
          <w:bCs/>
          <w:sz w:val="22"/>
          <w:szCs w:val="22"/>
        </w:rPr>
        <w:t>el Ministerio de Trabajo y Seguridad Social</w:t>
      </w:r>
      <w:r w:rsidR="00C952AF">
        <w:rPr>
          <w:rFonts w:ascii="Arial" w:eastAsia="Arial" w:hAnsi="Arial" w:cs="Arial"/>
          <w:bCs/>
          <w:sz w:val="22"/>
          <w:szCs w:val="22"/>
        </w:rPr>
        <w:t>,</w:t>
      </w:r>
      <w:r w:rsidR="00205D68">
        <w:rPr>
          <w:rFonts w:ascii="Arial" w:eastAsia="Arial" w:hAnsi="Arial" w:cs="Arial"/>
          <w:bCs/>
          <w:sz w:val="22"/>
          <w:szCs w:val="22"/>
        </w:rPr>
        <w:t xml:space="preserve"> el </w:t>
      </w:r>
      <w:r w:rsidR="00205D68" w:rsidRPr="00205D68">
        <w:rPr>
          <w:rFonts w:ascii="Arial" w:eastAsia="Arial" w:hAnsi="Arial" w:cs="Arial"/>
          <w:bCs/>
          <w:sz w:val="22"/>
          <w:szCs w:val="22"/>
        </w:rPr>
        <w:t xml:space="preserve">Estudio de Proyección de Empleo de ManpowerGroup para </w:t>
      </w:r>
      <w:r w:rsidR="00205D68">
        <w:rPr>
          <w:rFonts w:ascii="Arial" w:eastAsia="Arial" w:hAnsi="Arial" w:cs="Arial"/>
          <w:bCs/>
          <w:sz w:val="22"/>
          <w:szCs w:val="22"/>
        </w:rPr>
        <w:t xml:space="preserve">el tercer trimestre de </w:t>
      </w:r>
      <w:r w:rsidR="00205D68" w:rsidRPr="00205D68">
        <w:rPr>
          <w:rFonts w:ascii="Arial" w:eastAsia="Arial" w:hAnsi="Arial" w:cs="Arial"/>
          <w:bCs/>
          <w:sz w:val="22"/>
          <w:szCs w:val="22"/>
        </w:rPr>
        <w:t>2023</w:t>
      </w:r>
      <w:r w:rsidR="00205D68">
        <w:rPr>
          <w:rFonts w:ascii="Arial" w:eastAsia="Arial" w:hAnsi="Arial" w:cs="Arial"/>
          <w:bCs/>
          <w:sz w:val="22"/>
          <w:szCs w:val="22"/>
        </w:rPr>
        <w:t xml:space="preserve"> muestra una proyección neta del 20%</w:t>
      </w:r>
      <w:r w:rsidR="005E0E99">
        <w:rPr>
          <w:rFonts w:ascii="Arial" w:eastAsia="Arial" w:hAnsi="Arial" w:cs="Arial"/>
          <w:bCs/>
          <w:sz w:val="22"/>
          <w:szCs w:val="22"/>
        </w:rPr>
        <w:t>, cifra que dobla el resultado del trimestre anterior.</w:t>
      </w:r>
    </w:p>
    <w:p w14:paraId="1F88B606" w14:textId="77777777" w:rsidR="00BF7FDF" w:rsidRDefault="00BF7FDF" w:rsidP="00BF7FDF">
      <w:pPr>
        <w:spacing w:line="276" w:lineRule="auto"/>
        <w:jc w:val="both"/>
        <w:rPr>
          <w:rFonts w:ascii="Arial" w:eastAsia="Arial" w:hAnsi="Arial" w:cs="Arial"/>
          <w:bCs/>
          <w:sz w:val="22"/>
          <w:szCs w:val="22"/>
        </w:rPr>
      </w:pPr>
    </w:p>
    <w:p w14:paraId="64F967A7" w14:textId="7BCC55D8" w:rsidR="00BF7FDF" w:rsidRDefault="00BF7FDF" w:rsidP="00BF7FDF">
      <w:pPr>
        <w:spacing w:line="276" w:lineRule="auto"/>
        <w:jc w:val="both"/>
        <w:rPr>
          <w:rFonts w:ascii="Arial" w:eastAsia="Arial" w:hAnsi="Arial" w:cs="Arial"/>
          <w:bCs/>
          <w:sz w:val="22"/>
          <w:szCs w:val="22"/>
        </w:rPr>
      </w:pPr>
      <w:r>
        <w:rPr>
          <w:rFonts w:ascii="Arial" w:eastAsia="Arial" w:hAnsi="Arial" w:cs="Arial"/>
          <w:bCs/>
          <w:sz w:val="22"/>
          <w:szCs w:val="22"/>
        </w:rPr>
        <w:t xml:space="preserve">La principal conclusión de este informe es que las </w:t>
      </w:r>
      <w:r w:rsidRPr="00C952AF">
        <w:rPr>
          <w:rFonts w:ascii="Arial" w:eastAsia="Arial" w:hAnsi="Arial" w:cs="Arial"/>
          <w:b/>
          <w:sz w:val="22"/>
          <w:szCs w:val="22"/>
        </w:rPr>
        <w:t>empresas españolas suben en 10 puntos sus intenciones de contratación respecto al segundo trimestre</w:t>
      </w:r>
      <w:r>
        <w:rPr>
          <w:rFonts w:ascii="Arial" w:eastAsia="Arial" w:hAnsi="Arial" w:cs="Arial"/>
          <w:bCs/>
          <w:sz w:val="22"/>
          <w:szCs w:val="22"/>
        </w:rPr>
        <w:t xml:space="preserve">, con una previsión neta del 20%. </w:t>
      </w:r>
      <w:r w:rsidR="00C952AF">
        <w:rPr>
          <w:rFonts w:ascii="Arial" w:eastAsia="Arial" w:hAnsi="Arial" w:cs="Arial"/>
          <w:bCs/>
          <w:sz w:val="22"/>
          <w:szCs w:val="22"/>
        </w:rPr>
        <w:t>En esta línea, m</w:t>
      </w:r>
      <w:r>
        <w:rPr>
          <w:rFonts w:ascii="Arial" w:eastAsia="Arial" w:hAnsi="Arial" w:cs="Arial"/>
          <w:bCs/>
          <w:sz w:val="22"/>
          <w:szCs w:val="22"/>
        </w:rPr>
        <w:t>antener la plantilla actual será lo más habitual</w:t>
      </w:r>
      <w:r w:rsidR="00C952AF">
        <w:rPr>
          <w:rFonts w:ascii="Arial" w:eastAsia="Arial" w:hAnsi="Arial" w:cs="Arial"/>
          <w:bCs/>
          <w:sz w:val="22"/>
          <w:szCs w:val="22"/>
        </w:rPr>
        <w:t>,</w:t>
      </w:r>
      <w:r>
        <w:rPr>
          <w:rFonts w:ascii="Arial" w:eastAsia="Arial" w:hAnsi="Arial" w:cs="Arial"/>
          <w:bCs/>
          <w:sz w:val="22"/>
          <w:szCs w:val="22"/>
        </w:rPr>
        <w:t xml:space="preserve"> según el 43% de las corporaciones, a las que se suma un 38% que </w:t>
      </w:r>
      <w:r w:rsidR="00C952AF">
        <w:rPr>
          <w:rFonts w:ascii="Arial" w:eastAsia="Arial" w:hAnsi="Arial" w:cs="Arial"/>
          <w:bCs/>
          <w:sz w:val="22"/>
          <w:szCs w:val="22"/>
        </w:rPr>
        <w:t>pronostican incrementos en</w:t>
      </w:r>
      <w:r>
        <w:rPr>
          <w:rFonts w:ascii="Arial" w:eastAsia="Arial" w:hAnsi="Arial" w:cs="Arial"/>
          <w:bCs/>
          <w:sz w:val="22"/>
          <w:szCs w:val="22"/>
        </w:rPr>
        <w:t xml:space="preserve"> sus equipos. </w:t>
      </w:r>
    </w:p>
    <w:p w14:paraId="2D185B3E" w14:textId="77777777" w:rsidR="00BF7FDF" w:rsidRDefault="00BF7FDF" w:rsidP="00BF7FDF">
      <w:pPr>
        <w:spacing w:line="276" w:lineRule="auto"/>
        <w:jc w:val="both"/>
        <w:rPr>
          <w:rFonts w:ascii="Arial" w:eastAsia="Arial" w:hAnsi="Arial" w:cs="Arial"/>
          <w:bCs/>
          <w:sz w:val="22"/>
          <w:szCs w:val="22"/>
        </w:rPr>
      </w:pPr>
    </w:p>
    <w:p w14:paraId="6FE80E6C" w14:textId="612935DA" w:rsidR="00533536" w:rsidRPr="005E0E99" w:rsidRDefault="005E0E99" w:rsidP="00BF7FDF">
      <w:pPr>
        <w:spacing w:line="276" w:lineRule="auto"/>
        <w:jc w:val="both"/>
        <w:rPr>
          <w:rFonts w:ascii="Arial" w:eastAsia="Arial" w:hAnsi="Arial" w:cs="Arial"/>
          <w:sz w:val="22"/>
          <w:szCs w:val="22"/>
        </w:rPr>
      </w:pPr>
      <w:r w:rsidRPr="005E0E99">
        <w:rPr>
          <w:rFonts w:ascii="Arial" w:eastAsia="Arial" w:hAnsi="Arial" w:cs="Arial"/>
          <w:i/>
          <w:iCs/>
          <w:sz w:val="22"/>
          <w:szCs w:val="22"/>
        </w:rPr>
        <w:t xml:space="preserve">“El mercado del empleo muestra una evolución positiva en 2023. A pesar de que se mantienen varios de los factores que afectan negativamente, como la guerra de Ucrania o la inflación, nuestro estudio </w:t>
      </w:r>
      <w:r w:rsidR="00231877">
        <w:rPr>
          <w:rFonts w:ascii="Arial" w:eastAsia="Arial" w:hAnsi="Arial" w:cs="Arial"/>
          <w:i/>
          <w:iCs/>
          <w:sz w:val="22"/>
          <w:szCs w:val="22"/>
        </w:rPr>
        <w:t xml:space="preserve">refleja </w:t>
      </w:r>
      <w:r w:rsidRPr="005E0E99">
        <w:rPr>
          <w:rFonts w:ascii="Arial" w:eastAsia="Arial" w:hAnsi="Arial" w:cs="Arial"/>
          <w:i/>
          <w:iCs/>
          <w:sz w:val="22"/>
          <w:szCs w:val="22"/>
        </w:rPr>
        <w:t>que se va a generar empleo en todas las regiones y en prácticamente todos los sectores</w:t>
      </w:r>
      <w:r>
        <w:rPr>
          <w:rFonts w:ascii="Arial" w:eastAsia="Arial" w:hAnsi="Arial" w:cs="Arial"/>
          <w:i/>
          <w:iCs/>
          <w:sz w:val="22"/>
          <w:szCs w:val="22"/>
        </w:rPr>
        <w:t>”</w:t>
      </w:r>
      <w:r w:rsidRPr="005E0E99">
        <w:rPr>
          <w:rFonts w:ascii="Arial" w:eastAsia="Arial" w:hAnsi="Arial" w:cs="Arial"/>
          <w:sz w:val="22"/>
          <w:szCs w:val="22"/>
        </w:rPr>
        <w:t>,</w:t>
      </w:r>
      <w:r>
        <w:rPr>
          <w:rFonts w:ascii="Arial" w:eastAsia="Arial" w:hAnsi="Arial" w:cs="Arial"/>
          <w:sz w:val="22"/>
          <w:szCs w:val="22"/>
        </w:rPr>
        <w:t xml:space="preserve"> analiza </w:t>
      </w:r>
      <w:r w:rsidRPr="00401989">
        <w:rPr>
          <w:rFonts w:ascii="Arial" w:eastAsia="Arial" w:hAnsi="Arial" w:cs="Arial"/>
          <w:b/>
          <w:bCs/>
          <w:sz w:val="22"/>
          <w:szCs w:val="22"/>
        </w:rPr>
        <w:t>Francisco Ribeiro, Country Manager de ManpowerGroup</w:t>
      </w:r>
      <w:r>
        <w:rPr>
          <w:rFonts w:ascii="Arial" w:eastAsia="Arial" w:hAnsi="Arial" w:cs="Arial"/>
          <w:sz w:val="22"/>
          <w:szCs w:val="22"/>
        </w:rPr>
        <w:t>, que continua: “</w:t>
      </w:r>
      <w:r w:rsidRPr="005E0E99">
        <w:rPr>
          <w:rFonts w:ascii="Arial" w:eastAsia="Arial" w:hAnsi="Arial" w:cs="Arial"/>
          <w:i/>
          <w:iCs/>
          <w:sz w:val="22"/>
          <w:szCs w:val="22"/>
        </w:rPr>
        <w:t>además, entre las más optimistas encontramos industrias de gran valor estratégico como la sanitaria, la energética o la tecnológica</w:t>
      </w:r>
      <w:r w:rsidRPr="005E0E99">
        <w:rPr>
          <w:rFonts w:ascii="Arial" w:eastAsia="Arial" w:hAnsi="Arial" w:cs="Arial"/>
          <w:sz w:val="22"/>
          <w:szCs w:val="22"/>
        </w:rPr>
        <w:t>”.</w:t>
      </w:r>
    </w:p>
    <w:p w14:paraId="392590A2" w14:textId="77777777" w:rsidR="00533536" w:rsidRDefault="00533536" w:rsidP="00BF7FDF">
      <w:pPr>
        <w:spacing w:line="276" w:lineRule="auto"/>
        <w:jc w:val="both"/>
        <w:rPr>
          <w:rFonts w:ascii="Arial" w:eastAsia="Arial" w:hAnsi="Arial" w:cs="Arial"/>
          <w:bCs/>
          <w:sz w:val="22"/>
          <w:szCs w:val="22"/>
        </w:rPr>
      </w:pPr>
    </w:p>
    <w:p w14:paraId="7464F418" w14:textId="40F86117" w:rsidR="00C952AF" w:rsidRDefault="005E0E99" w:rsidP="00882FCB">
      <w:pPr>
        <w:spacing w:line="276" w:lineRule="auto"/>
        <w:jc w:val="both"/>
        <w:rPr>
          <w:rFonts w:ascii="Arial" w:eastAsia="Arial" w:hAnsi="Arial" w:cs="Arial"/>
          <w:b/>
          <w:bCs/>
          <w:sz w:val="22"/>
          <w:szCs w:val="22"/>
        </w:rPr>
      </w:pPr>
      <w:r>
        <w:rPr>
          <w:rFonts w:ascii="Arial" w:eastAsia="Arial" w:hAnsi="Arial" w:cs="Arial"/>
          <w:b/>
          <w:bCs/>
          <w:sz w:val="22"/>
          <w:szCs w:val="22"/>
        </w:rPr>
        <w:t>Más allá del turismo</w:t>
      </w:r>
      <w:r w:rsidR="00390D3C">
        <w:rPr>
          <w:rFonts w:ascii="Arial" w:eastAsia="Arial" w:hAnsi="Arial" w:cs="Arial"/>
          <w:b/>
          <w:bCs/>
          <w:sz w:val="22"/>
          <w:szCs w:val="22"/>
        </w:rPr>
        <w:t>:</w:t>
      </w:r>
      <w:r>
        <w:rPr>
          <w:rFonts w:ascii="Arial" w:eastAsia="Arial" w:hAnsi="Arial" w:cs="Arial"/>
          <w:b/>
          <w:bCs/>
          <w:sz w:val="22"/>
          <w:szCs w:val="22"/>
        </w:rPr>
        <w:t xml:space="preserve"> S</w:t>
      </w:r>
      <w:r w:rsidR="00C952AF">
        <w:rPr>
          <w:rFonts w:ascii="Arial" w:eastAsia="Arial" w:hAnsi="Arial" w:cs="Arial"/>
          <w:b/>
          <w:bCs/>
          <w:sz w:val="22"/>
          <w:szCs w:val="22"/>
        </w:rPr>
        <w:t xml:space="preserve">alud y </w:t>
      </w:r>
      <w:r>
        <w:rPr>
          <w:rFonts w:ascii="Arial" w:eastAsia="Arial" w:hAnsi="Arial" w:cs="Arial"/>
          <w:b/>
          <w:bCs/>
          <w:sz w:val="22"/>
          <w:szCs w:val="22"/>
        </w:rPr>
        <w:t>f</w:t>
      </w:r>
      <w:r w:rsidR="00C952AF">
        <w:rPr>
          <w:rFonts w:ascii="Arial" w:eastAsia="Arial" w:hAnsi="Arial" w:cs="Arial"/>
          <w:b/>
          <w:bCs/>
          <w:sz w:val="22"/>
          <w:szCs w:val="22"/>
        </w:rPr>
        <w:t>armacia encabezan las contrataciones para el periodo estival</w:t>
      </w:r>
    </w:p>
    <w:p w14:paraId="51AE75D8" w14:textId="2DB54BD3" w:rsidR="00C952AF" w:rsidRDefault="00C952AF" w:rsidP="00882FCB">
      <w:pPr>
        <w:spacing w:line="276" w:lineRule="auto"/>
        <w:jc w:val="both"/>
        <w:rPr>
          <w:rFonts w:ascii="Arial" w:eastAsia="Arial" w:hAnsi="Arial" w:cs="Arial"/>
          <w:sz w:val="22"/>
          <w:szCs w:val="22"/>
        </w:rPr>
      </w:pPr>
      <w:r>
        <w:rPr>
          <w:rFonts w:ascii="Arial" w:eastAsia="Arial" w:hAnsi="Arial" w:cs="Arial"/>
          <w:sz w:val="22"/>
          <w:szCs w:val="22"/>
        </w:rPr>
        <w:t>Aunque en los meses de verano el sector turístico suele liderar las contratacione</w:t>
      </w:r>
      <w:r w:rsidR="00E151DB">
        <w:rPr>
          <w:rFonts w:ascii="Arial" w:eastAsia="Arial" w:hAnsi="Arial" w:cs="Arial"/>
          <w:sz w:val="22"/>
          <w:szCs w:val="22"/>
        </w:rPr>
        <w:t xml:space="preserve">s, son las empresas de </w:t>
      </w:r>
      <w:r w:rsidR="00E151DB" w:rsidRPr="00E151DB">
        <w:rPr>
          <w:rFonts w:ascii="Arial" w:eastAsia="Arial" w:hAnsi="Arial" w:cs="Arial"/>
          <w:b/>
          <w:bCs/>
          <w:sz w:val="22"/>
          <w:szCs w:val="22"/>
        </w:rPr>
        <w:t xml:space="preserve">Salud y farma las situadas a la cabeza en estimación de empleo para este </w:t>
      </w:r>
      <w:r w:rsidR="00533536">
        <w:rPr>
          <w:rFonts w:ascii="Arial" w:eastAsia="Arial" w:hAnsi="Arial" w:cs="Arial"/>
          <w:b/>
          <w:bCs/>
          <w:sz w:val="22"/>
          <w:szCs w:val="22"/>
        </w:rPr>
        <w:lastRenderedPageBreak/>
        <w:t>periodo</w:t>
      </w:r>
      <w:r w:rsidR="00E151DB">
        <w:rPr>
          <w:rFonts w:ascii="Arial" w:eastAsia="Arial" w:hAnsi="Arial" w:cs="Arial"/>
          <w:sz w:val="22"/>
          <w:szCs w:val="22"/>
        </w:rPr>
        <w:t>, con una proyección de contrataciones en el sector del 33%, lo que supone un incremento de 23 puntos respecto al segundo trimestre.</w:t>
      </w:r>
    </w:p>
    <w:p w14:paraId="443E74E9" w14:textId="77777777" w:rsidR="005E0E99" w:rsidRDefault="005E0E99" w:rsidP="00882FCB">
      <w:pPr>
        <w:spacing w:line="276" w:lineRule="auto"/>
        <w:jc w:val="both"/>
        <w:rPr>
          <w:rFonts w:ascii="Arial" w:eastAsia="Arial" w:hAnsi="Arial" w:cs="Arial"/>
          <w:sz w:val="22"/>
          <w:szCs w:val="22"/>
        </w:rPr>
      </w:pPr>
    </w:p>
    <w:p w14:paraId="70C97BFB" w14:textId="00193630" w:rsidR="00E151DB" w:rsidRDefault="00E151DB" w:rsidP="00882FCB">
      <w:pPr>
        <w:spacing w:line="276" w:lineRule="auto"/>
        <w:jc w:val="both"/>
        <w:rPr>
          <w:rFonts w:ascii="Arial" w:eastAsia="Arial" w:hAnsi="Arial" w:cs="Arial"/>
          <w:b/>
          <w:bCs/>
          <w:sz w:val="22"/>
          <w:szCs w:val="22"/>
        </w:rPr>
      </w:pPr>
      <w:r>
        <w:rPr>
          <w:rFonts w:ascii="Arial" w:eastAsia="Arial" w:hAnsi="Arial" w:cs="Arial"/>
          <w:sz w:val="22"/>
          <w:szCs w:val="22"/>
        </w:rPr>
        <w:t>Tras Salud y fa</w:t>
      </w:r>
      <w:r w:rsidR="00720F29">
        <w:rPr>
          <w:rFonts w:ascii="Arial" w:eastAsia="Arial" w:hAnsi="Arial" w:cs="Arial"/>
          <w:sz w:val="22"/>
          <w:szCs w:val="22"/>
        </w:rPr>
        <w:t>r</w:t>
      </w:r>
      <w:r>
        <w:rPr>
          <w:rFonts w:ascii="Arial" w:eastAsia="Arial" w:hAnsi="Arial" w:cs="Arial"/>
          <w:sz w:val="22"/>
          <w:szCs w:val="22"/>
        </w:rPr>
        <w:t xml:space="preserve">ma se sitúa el </w:t>
      </w:r>
      <w:r w:rsidRPr="00E151DB">
        <w:rPr>
          <w:rFonts w:ascii="Arial" w:eastAsia="Arial" w:hAnsi="Arial" w:cs="Arial"/>
          <w:b/>
          <w:bCs/>
          <w:sz w:val="22"/>
          <w:szCs w:val="22"/>
        </w:rPr>
        <w:t>sector energético, con un 31% de estimación de empleo</w:t>
      </w:r>
      <w:r w:rsidRPr="00E151DB">
        <w:rPr>
          <w:rFonts w:ascii="Arial" w:eastAsia="Arial" w:hAnsi="Arial" w:cs="Arial"/>
          <w:sz w:val="22"/>
          <w:szCs w:val="22"/>
        </w:rPr>
        <w:t xml:space="preserve">. En tercera posición </w:t>
      </w:r>
      <w:r w:rsidRPr="00E151DB">
        <w:rPr>
          <w:rFonts w:ascii="Arial" w:eastAsia="Arial" w:hAnsi="Arial" w:cs="Arial"/>
          <w:b/>
          <w:bCs/>
          <w:sz w:val="22"/>
          <w:szCs w:val="22"/>
        </w:rPr>
        <w:t>T</w:t>
      </w:r>
      <w:r w:rsidR="005E0E99">
        <w:rPr>
          <w:rFonts w:ascii="Arial" w:eastAsia="Arial" w:hAnsi="Arial" w:cs="Arial"/>
          <w:b/>
          <w:bCs/>
          <w:sz w:val="22"/>
          <w:szCs w:val="22"/>
        </w:rPr>
        <w:t>ecnología</w:t>
      </w:r>
      <w:r w:rsidRPr="00E151DB">
        <w:rPr>
          <w:rFonts w:ascii="Arial" w:eastAsia="Arial" w:hAnsi="Arial" w:cs="Arial"/>
          <w:b/>
          <w:bCs/>
          <w:sz w:val="22"/>
          <w:szCs w:val="22"/>
        </w:rPr>
        <w:t xml:space="preserve"> (27%).</w:t>
      </w:r>
      <w:r w:rsidRPr="00E151DB">
        <w:rPr>
          <w:rFonts w:ascii="Arial" w:eastAsia="Arial" w:hAnsi="Arial" w:cs="Arial"/>
          <w:sz w:val="22"/>
          <w:szCs w:val="22"/>
        </w:rPr>
        <w:t xml:space="preserve"> A continuación, </w:t>
      </w:r>
      <w:r>
        <w:rPr>
          <w:rFonts w:ascii="Arial" w:eastAsia="Arial" w:hAnsi="Arial" w:cs="Arial"/>
          <w:sz w:val="22"/>
          <w:szCs w:val="22"/>
        </w:rPr>
        <w:t xml:space="preserve">con un 22%, </w:t>
      </w:r>
      <w:r w:rsidRPr="00E151DB">
        <w:rPr>
          <w:rFonts w:ascii="Arial" w:eastAsia="Arial" w:hAnsi="Arial" w:cs="Arial"/>
          <w:sz w:val="22"/>
          <w:szCs w:val="22"/>
        </w:rPr>
        <w:t xml:space="preserve">la industria de </w:t>
      </w:r>
      <w:r w:rsidRPr="00E151DB">
        <w:rPr>
          <w:rFonts w:ascii="Arial" w:eastAsia="Arial" w:hAnsi="Arial" w:cs="Arial"/>
          <w:b/>
          <w:bCs/>
          <w:sz w:val="22"/>
          <w:szCs w:val="22"/>
        </w:rPr>
        <w:t>Bienes y servicios de consumo</w:t>
      </w:r>
      <w:r>
        <w:rPr>
          <w:rFonts w:ascii="Arial" w:eastAsia="Arial" w:hAnsi="Arial" w:cs="Arial"/>
          <w:b/>
          <w:bCs/>
          <w:sz w:val="22"/>
          <w:szCs w:val="22"/>
        </w:rPr>
        <w:t xml:space="preserve"> </w:t>
      </w:r>
      <w:r w:rsidRPr="00E151DB">
        <w:rPr>
          <w:rFonts w:ascii="Arial" w:eastAsia="Arial" w:hAnsi="Arial" w:cs="Arial"/>
          <w:sz w:val="22"/>
          <w:szCs w:val="22"/>
        </w:rPr>
        <w:t>(que engloba el sector turístico)</w:t>
      </w:r>
      <w:r w:rsidR="005E0E99">
        <w:rPr>
          <w:rFonts w:ascii="Arial" w:eastAsia="Arial" w:hAnsi="Arial" w:cs="Arial"/>
          <w:b/>
          <w:bCs/>
          <w:sz w:val="22"/>
          <w:szCs w:val="22"/>
        </w:rPr>
        <w:t>;</w:t>
      </w:r>
      <w:r>
        <w:rPr>
          <w:rFonts w:ascii="Arial" w:eastAsia="Arial" w:hAnsi="Arial" w:cs="Arial"/>
          <w:b/>
          <w:bCs/>
          <w:sz w:val="22"/>
          <w:szCs w:val="22"/>
        </w:rPr>
        <w:t xml:space="preserve"> </w:t>
      </w:r>
      <w:r w:rsidRPr="00E151DB">
        <w:rPr>
          <w:rFonts w:ascii="Arial" w:eastAsia="Arial" w:hAnsi="Arial" w:cs="Arial"/>
          <w:b/>
          <w:bCs/>
          <w:sz w:val="22"/>
          <w:szCs w:val="22"/>
        </w:rPr>
        <w:t>Financiero</w:t>
      </w:r>
      <w:r w:rsidR="005E0E99">
        <w:rPr>
          <w:rFonts w:ascii="Arial" w:eastAsia="Arial" w:hAnsi="Arial" w:cs="Arial"/>
          <w:b/>
          <w:bCs/>
          <w:sz w:val="22"/>
          <w:szCs w:val="22"/>
        </w:rPr>
        <w:t xml:space="preserve"> e </w:t>
      </w:r>
      <w:r w:rsidRPr="00E151DB">
        <w:rPr>
          <w:rFonts w:ascii="Arial" w:eastAsia="Arial" w:hAnsi="Arial" w:cs="Arial"/>
          <w:b/>
          <w:bCs/>
          <w:sz w:val="22"/>
          <w:szCs w:val="22"/>
        </w:rPr>
        <w:t>inmobiliario</w:t>
      </w:r>
      <w:r w:rsidR="005E0E99">
        <w:rPr>
          <w:rFonts w:ascii="Arial" w:eastAsia="Arial" w:hAnsi="Arial" w:cs="Arial"/>
          <w:b/>
          <w:bCs/>
          <w:sz w:val="22"/>
          <w:szCs w:val="22"/>
        </w:rPr>
        <w:t>;</w:t>
      </w:r>
      <w:r w:rsidR="005E0E99" w:rsidRPr="005E0E99">
        <w:rPr>
          <w:rFonts w:ascii="Arial" w:eastAsia="Arial" w:hAnsi="Arial" w:cs="Arial"/>
          <w:sz w:val="22"/>
          <w:szCs w:val="22"/>
        </w:rPr>
        <w:t xml:space="preserve"> y</w:t>
      </w:r>
      <w:r w:rsidRPr="005E0E99">
        <w:rPr>
          <w:rFonts w:ascii="Arial" w:eastAsia="Arial" w:hAnsi="Arial" w:cs="Arial"/>
          <w:sz w:val="22"/>
          <w:szCs w:val="22"/>
        </w:rPr>
        <w:t xml:space="preserve"> e</w:t>
      </w:r>
      <w:r w:rsidR="00401989">
        <w:rPr>
          <w:rFonts w:ascii="Arial" w:eastAsia="Arial" w:hAnsi="Arial" w:cs="Arial"/>
          <w:sz w:val="22"/>
          <w:szCs w:val="22"/>
        </w:rPr>
        <w:t>l</w:t>
      </w:r>
      <w:r w:rsidRPr="00E151DB">
        <w:rPr>
          <w:rFonts w:ascii="Arial" w:eastAsia="Arial" w:hAnsi="Arial" w:cs="Arial"/>
          <w:b/>
          <w:bCs/>
          <w:sz w:val="22"/>
          <w:szCs w:val="22"/>
        </w:rPr>
        <w:t xml:space="preserve"> </w:t>
      </w:r>
      <w:r w:rsidR="005E0E99">
        <w:rPr>
          <w:rFonts w:ascii="Arial" w:eastAsia="Arial" w:hAnsi="Arial" w:cs="Arial"/>
          <w:b/>
          <w:bCs/>
          <w:sz w:val="22"/>
          <w:szCs w:val="22"/>
        </w:rPr>
        <w:t>I</w:t>
      </w:r>
      <w:r w:rsidRPr="00E151DB">
        <w:rPr>
          <w:rFonts w:ascii="Arial" w:eastAsia="Arial" w:hAnsi="Arial" w:cs="Arial"/>
          <w:b/>
          <w:bCs/>
          <w:sz w:val="22"/>
          <w:szCs w:val="22"/>
        </w:rPr>
        <w:t>ndustria</w:t>
      </w:r>
      <w:r>
        <w:rPr>
          <w:rFonts w:ascii="Arial" w:eastAsia="Arial" w:hAnsi="Arial" w:cs="Arial"/>
          <w:b/>
          <w:bCs/>
          <w:sz w:val="22"/>
          <w:szCs w:val="22"/>
        </w:rPr>
        <w:t xml:space="preserve">l. </w:t>
      </w:r>
      <w:r w:rsidR="002C01E7" w:rsidRPr="002C01E7">
        <w:rPr>
          <w:rFonts w:ascii="Arial" w:eastAsia="Arial" w:hAnsi="Arial" w:cs="Arial"/>
          <w:sz w:val="22"/>
          <w:szCs w:val="22"/>
        </w:rPr>
        <w:t xml:space="preserve">Este último es el segundo que más crece, </w:t>
      </w:r>
      <w:r w:rsidR="005E0E99">
        <w:rPr>
          <w:rFonts w:ascii="Arial" w:eastAsia="Arial" w:hAnsi="Arial" w:cs="Arial"/>
          <w:sz w:val="22"/>
          <w:szCs w:val="22"/>
        </w:rPr>
        <w:t xml:space="preserve">con una subida de </w:t>
      </w:r>
      <w:r w:rsidR="002C01E7" w:rsidRPr="002C01E7">
        <w:rPr>
          <w:rFonts w:ascii="Arial" w:eastAsia="Arial" w:hAnsi="Arial" w:cs="Arial"/>
          <w:sz w:val="22"/>
          <w:szCs w:val="22"/>
        </w:rPr>
        <w:t>17 puntos respecto al trimestre anterior.</w:t>
      </w:r>
    </w:p>
    <w:p w14:paraId="0E217984" w14:textId="77777777" w:rsidR="00E151DB" w:rsidRDefault="00E151DB" w:rsidP="00882FCB">
      <w:pPr>
        <w:spacing w:line="276" w:lineRule="auto"/>
        <w:jc w:val="both"/>
        <w:rPr>
          <w:rFonts w:ascii="Arial" w:eastAsia="Arial" w:hAnsi="Arial" w:cs="Arial"/>
          <w:b/>
          <w:bCs/>
          <w:sz w:val="22"/>
          <w:szCs w:val="22"/>
        </w:rPr>
      </w:pPr>
    </w:p>
    <w:p w14:paraId="66F39CA9" w14:textId="413D0D4C" w:rsidR="00E151DB" w:rsidRDefault="00E151DB" w:rsidP="00882FCB">
      <w:pPr>
        <w:spacing w:line="276" w:lineRule="auto"/>
        <w:jc w:val="both"/>
        <w:rPr>
          <w:rFonts w:ascii="Arial" w:eastAsia="Arial" w:hAnsi="Arial" w:cs="Arial"/>
          <w:sz w:val="22"/>
          <w:szCs w:val="22"/>
        </w:rPr>
      </w:pPr>
      <w:r w:rsidRPr="00E151DB">
        <w:rPr>
          <w:rFonts w:ascii="Arial" w:eastAsia="Arial" w:hAnsi="Arial" w:cs="Arial"/>
          <w:sz w:val="22"/>
          <w:szCs w:val="22"/>
        </w:rPr>
        <w:t>Cierra</w:t>
      </w:r>
      <w:r w:rsidR="001740C7">
        <w:rPr>
          <w:rFonts w:ascii="Arial" w:eastAsia="Arial" w:hAnsi="Arial" w:cs="Arial"/>
          <w:sz w:val="22"/>
          <w:szCs w:val="22"/>
        </w:rPr>
        <w:t>n</w:t>
      </w:r>
      <w:r w:rsidRPr="00E151DB">
        <w:rPr>
          <w:rFonts w:ascii="Arial" w:eastAsia="Arial" w:hAnsi="Arial" w:cs="Arial"/>
          <w:sz w:val="22"/>
          <w:szCs w:val="22"/>
        </w:rPr>
        <w:t xml:space="preserve"> la lista </w:t>
      </w:r>
      <w:r w:rsidR="005E0E99">
        <w:rPr>
          <w:rFonts w:ascii="Arial" w:eastAsia="Arial" w:hAnsi="Arial" w:cs="Arial"/>
          <w:b/>
          <w:bCs/>
          <w:sz w:val="22"/>
          <w:szCs w:val="22"/>
        </w:rPr>
        <w:t xml:space="preserve">Publicidad y </w:t>
      </w:r>
      <w:r w:rsidRPr="002C01E7">
        <w:rPr>
          <w:rFonts w:ascii="Arial" w:eastAsia="Arial" w:hAnsi="Arial" w:cs="Arial"/>
          <w:b/>
          <w:bCs/>
          <w:sz w:val="22"/>
          <w:szCs w:val="22"/>
        </w:rPr>
        <w:t>comunicación (18%)</w:t>
      </w:r>
      <w:r w:rsidR="001740C7">
        <w:rPr>
          <w:rFonts w:ascii="Arial" w:eastAsia="Arial" w:hAnsi="Arial" w:cs="Arial"/>
          <w:sz w:val="22"/>
          <w:szCs w:val="22"/>
        </w:rPr>
        <w:t xml:space="preserve"> y</w:t>
      </w:r>
      <w:r w:rsidRPr="001740C7">
        <w:rPr>
          <w:rFonts w:ascii="Arial" w:eastAsia="Arial" w:hAnsi="Arial" w:cs="Arial"/>
          <w:sz w:val="22"/>
          <w:szCs w:val="22"/>
        </w:rPr>
        <w:t xml:space="preserve"> </w:t>
      </w:r>
      <w:r w:rsidRPr="002C01E7">
        <w:rPr>
          <w:rFonts w:ascii="Arial" w:eastAsia="Arial" w:hAnsi="Arial" w:cs="Arial"/>
          <w:b/>
          <w:bCs/>
          <w:sz w:val="22"/>
          <w:szCs w:val="22"/>
        </w:rPr>
        <w:t xml:space="preserve">Transporte, logística y automoción, </w:t>
      </w:r>
      <w:r w:rsidR="001740C7">
        <w:rPr>
          <w:rFonts w:ascii="Arial" w:eastAsia="Arial" w:hAnsi="Arial" w:cs="Arial"/>
          <w:b/>
          <w:bCs/>
          <w:sz w:val="22"/>
          <w:szCs w:val="22"/>
        </w:rPr>
        <w:t xml:space="preserve">que tiene </w:t>
      </w:r>
      <w:r w:rsidRPr="002C01E7">
        <w:rPr>
          <w:rFonts w:ascii="Arial" w:eastAsia="Arial" w:hAnsi="Arial" w:cs="Arial"/>
          <w:b/>
          <w:bCs/>
          <w:sz w:val="22"/>
          <w:szCs w:val="22"/>
        </w:rPr>
        <w:t>con una proyección neutra</w:t>
      </w:r>
      <w:r w:rsidR="001740C7">
        <w:rPr>
          <w:rFonts w:ascii="Arial" w:eastAsia="Arial" w:hAnsi="Arial" w:cs="Arial"/>
          <w:b/>
          <w:bCs/>
          <w:sz w:val="22"/>
          <w:szCs w:val="22"/>
        </w:rPr>
        <w:t xml:space="preserve"> (0%). </w:t>
      </w:r>
      <w:r w:rsidR="001740C7" w:rsidRPr="001740C7">
        <w:rPr>
          <w:rFonts w:ascii="Arial" w:eastAsia="Arial" w:hAnsi="Arial" w:cs="Arial"/>
          <w:sz w:val="22"/>
          <w:szCs w:val="22"/>
        </w:rPr>
        <w:t>Ambos</w:t>
      </w:r>
      <w:r w:rsidR="002C01E7" w:rsidRPr="002C01E7">
        <w:rPr>
          <w:rFonts w:ascii="Arial" w:eastAsia="Arial" w:hAnsi="Arial" w:cs="Arial"/>
          <w:b/>
          <w:bCs/>
          <w:sz w:val="22"/>
          <w:szCs w:val="22"/>
        </w:rPr>
        <w:t xml:space="preserve"> </w:t>
      </w:r>
      <w:r w:rsidR="002C01E7">
        <w:rPr>
          <w:rFonts w:ascii="Arial" w:eastAsia="Arial" w:hAnsi="Arial" w:cs="Arial"/>
          <w:sz w:val="22"/>
          <w:szCs w:val="22"/>
        </w:rPr>
        <w:t>esta</w:t>
      </w:r>
      <w:r w:rsidR="001740C7">
        <w:rPr>
          <w:rFonts w:ascii="Arial" w:eastAsia="Arial" w:hAnsi="Arial" w:cs="Arial"/>
          <w:sz w:val="22"/>
          <w:szCs w:val="22"/>
        </w:rPr>
        <w:t>ban</w:t>
      </w:r>
      <w:r w:rsidR="002C01E7">
        <w:rPr>
          <w:rFonts w:ascii="Arial" w:eastAsia="Arial" w:hAnsi="Arial" w:cs="Arial"/>
          <w:sz w:val="22"/>
          <w:szCs w:val="22"/>
        </w:rPr>
        <w:t xml:space="preserve"> en el top 3 en creación de empleo </w:t>
      </w:r>
      <w:r w:rsidR="00894DEA">
        <w:rPr>
          <w:rFonts w:ascii="Arial" w:eastAsia="Arial" w:hAnsi="Arial" w:cs="Arial"/>
          <w:sz w:val="22"/>
          <w:szCs w:val="22"/>
        </w:rPr>
        <w:t>en</w:t>
      </w:r>
      <w:r w:rsidR="002C01E7">
        <w:rPr>
          <w:rFonts w:ascii="Arial" w:eastAsia="Arial" w:hAnsi="Arial" w:cs="Arial"/>
          <w:sz w:val="22"/>
          <w:szCs w:val="22"/>
        </w:rPr>
        <w:t xml:space="preserve"> el segundo trimestre</w:t>
      </w:r>
      <w:r w:rsidR="001740C7">
        <w:rPr>
          <w:rFonts w:ascii="Arial" w:eastAsia="Arial" w:hAnsi="Arial" w:cs="Arial"/>
          <w:sz w:val="22"/>
          <w:szCs w:val="22"/>
        </w:rPr>
        <w:t xml:space="preserve"> y son </w:t>
      </w:r>
      <w:r w:rsidR="002C01E7">
        <w:rPr>
          <w:rFonts w:ascii="Arial" w:eastAsia="Arial" w:hAnsi="Arial" w:cs="Arial"/>
          <w:sz w:val="22"/>
          <w:szCs w:val="22"/>
        </w:rPr>
        <w:t xml:space="preserve">las únicas industrias que </w:t>
      </w:r>
      <w:r w:rsidR="001740C7">
        <w:rPr>
          <w:rFonts w:ascii="Arial" w:eastAsia="Arial" w:hAnsi="Arial" w:cs="Arial"/>
          <w:sz w:val="22"/>
          <w:szCs w:val="22"/>
        </w:rPr>
        <w:t>empeoran sus previsiones: Publicidad se deja un punto</w:t>
      </w:r>
      <w:r w:rsidR="002C01E7">
        <w:rPr>
          <w:rFonts w:ascii="Arial" w:eastAsia="Arial" w:hAnsi="Arial" w:cs="Arial"/>
          <w:sz w:val="22"/>
          <w:szCs w:val="22"/>
        </w:rPr>
        <w:t>, mientras que Logística decrece en 19</w:t>
      </w:r>
      <w:r w:rsidR="00B03429">
        <w:rPr>
          <w:rFonts w:ascii="Arial" w:eastAsia="Arial" w:hAnsi="Arial" w:cs="Arial"/>
          <w:sz w:val="22"/>
          <w:szCs w:val="22"/>
        </w:rPr>
        <w:t>.</w:t>
      </w:r>
    </w:p>
    <w:p w14:paraId="2898D472" w14:textId="77777777" w:rsidR="00B03429" w:rsidRDefault="00B03429" w:rsidP="00882FCB">
      <w:pPr>
        <w:spacing w:line="276" w:lineRule="auto"/>
        <w:jc w:val="both"/>
        <w:rPr>
          <w:rFonts w:ascii="Arial" w:eastAsia="Arial" w:hAnsi="Arial" w:cs="Arial"/>
          <w:sz w:val="22"/>
          <w:szCs w:val="22"/>
        </w:rPr>
      </w:pPr>
    </w:p>
    <w:p w14:paraId="751E094C" w14:textId="678A4325" w:rsidR="008B0BEA" w:rsidRPr="001740C7" w:rsidRDefault="001740C7" w:rsidP="00882FCB">
      <w:pPr>
        <w:spacing w:line="276" w:lineRule="auto"/>
        <w:jc w:val="both"/>
        <w:rPr>
          <w:rFonts w:ascii="Arial" w:eastAsia="Arial" w:hAnsi="Arial" w:cs="Arial"/>
          <w:sz w:val="22"/>
          <w:szCs w:val="22"/>
        </w:rPr>
      </w:pPr>
      <w:r w:rsidRPr="001740C7">
        <w:rPr>
          <w:rFonts w:ascii="Arial" w:eastAsia="Arial" w:hAnsi="Arial" w:cs="Arial"/>
          <w:sz w:val="22"/>
          <w:szCs w:val="22"/>
        </w:rPr>
        <w:t>S</w:t>
      </w:r>
      <w:r w:rsidR="008B0BEA" w:rsidRPr="001740C7">
        <w:rPr>
          <w:rFonts w:ascii="Arial" w:eastAsia="Arial" w:hAnsi="Arial" w:cs="Arial"/>
          <w:sz w:val="22"/>
          <w:szCs w:val="22"/>
        </w:rPr>
        <w:t xml:space="preserve">ostiene </w:t>
      </w:r>
      <w:r w:rsidR="008B0BEA" w:rsidRPr="001740C7">
        <w:rPr>
          <w:rFonts w:ascii="Arial" w:eastAsia="Arial" w:hAnsi="Arial" w:cs="Arial"/>
          <w:b/>
          <w:bCs/>
          <w:sz w:val="22"/>
          <w:szCs w:val="22"/>
        </w:rPr>
        <w:t>Francisco Ribeiro, Country Manager de ManpowerGroup</w:t>
      </w:r>
      <w:r w:rsidRPr="001740C7">
        <w:rPr>
          <w:rFonts w:ascii="Arial" w:eastAsia="Arial" w:hAnsi="Arial" w:cs="Arial"/>
          <w:sz w:val="22"/>
          <w:szCs w:val="22"/>
        </w:rPr>
        <w:t xml:space="preserve">, que </w:t>
      </w:r>
      <w:r w:rsidR="008B0BEA" w:rsidRPr="00B03429">
        <w:rPr>
          <w:rFonts w:ascii="Arial" w:eastAsia="Arial" w:hAnsi="Arial" w:cs="Arial"/>
          <w:i/>
          <w:iCs/>
          <w:sz w:val="22"/>
          <w:szCs w:val="22"/>
        </w:rPr>
        <w:t>“</w:t>
      </w:r>
      <w:r w:rsidR="00B03429" w:rsidRPr="00B03429">
        <w:rPr>
          <w:rFonts w:ascii="Arial" w:eastAsia="Arial" w:hAnsi="Arial" w:cs="Arial"/>
          <w:i/>
          <w:iCs/>
          <w:sz w:val="22"/>
          <w:szCs w:val="22"/>
        </w:rPr>
        <w:t xml:space="preserve">los datos de </w:t>
      </w:r>
      <w:r w:rsidR="008B0BEA" w:rsidRPr="00B03429">
        <w:rPr>
          <w:rFonts w:ascii="Arial" w:eastAsia="Arial" w:hAnsi="Arial" w:cs="Arial"/>
          <w:i/>
          <w:iCs/>
          <w:sz w:val="22"/>
          <w:szCs w:val="22"/>
        </w:rPr>
        <w:t>Logística lo</w:t>
      </w:r>
      <w:r>
        <w:rPr>
          <w:rFonts w:ascii="Arial" w:eastAsia="Arial" w:hAnsi="Arial" w:cs="Arial"/>
          <w:i/>
          <w:iCs/>
          <w:sz w:val="22"/>
          <w:szCs w:val="22"/>
        </w:rPr>
        <w:t>s</w:t>
      </w:r>
      <w:r w:rsidR="008B0BEA" w:rsidRPr="00B03429">
        <w:rPr>
          <w:rFonts w:ascii="Arial" w:eastAsia="Arial" w:hAnsi="Arial" w:cs="Arial"/>
          <w:i/>
          <w:iCs/>
          <w:sz w:val="22"/>
          <w:szCs w:val="22"/>
        </w:rPr>
        <w:t xml:space="preserve"> interpretamos en clave </w:t>
      </w:r>
      <w:r w:rsidR="00B03429" w:rsidRPr="00B03429">
        <w:rPr>
          <w:rFonts w:ascii="Arial" w:eastAsia="Arial" w:hAnsi="Arial" w:cs="Arial"/>
          <w:i/>
          <w:iCs/>
          <w:sz w:val="22"/>
          <w:szCs w:val="22"/>
        </w:rPr>
        <w:t xml:space="preserve">de estabilidad, más que de retroceso, pues el sector venía </w:t>
      </w:r>
      <w:r w:rsidR="00B03429" w:rsidRPr="001740C7">
        <w:rPr>
          <w:rFonts w:ascii="Arial" w:eastAsia="Arial" w:hAnsi="Arial" w:cs="Arial"/>
          <w:i/>
          <w:iCs/>
          <w:sz w:val="22"/>
          <w:szCs w:val="22"/>
        </w:rPr>
        <w:t>apuntando un gran crecimiento en el segundo trimestre y ahora las empresas siguen una tendencia de cautela</w:t>
      </w:r>
      <w:r w:rsidR="008D39F2">
        <w:rPr>
          <w:rFonts w:ascii="Arial" w:eastAsia="Arial" w:hAnsi="Arial" w:cs="Arial"/>
          <w:i/>
          <w:iCs/>
          <w:sz w:val="22"/>
          <w:szCs w:val="22"/>
        </w:rPr>
        <w:t>,</w:t>
      </w:r>
      <w:r w:rsidR="00533536" w:rsidRPr="001740C7">
        <w:rPr>
          <w:rFonts w:ascii="Arial" w:eastAsia="Arial" w:hAnsi="Arial" w:cs="Arial"/>
          <w:i/>
          <w:iCs/>
          <w:sz w:val="22"/>
          <w:szCs w:val="22"/>
        </w:rPr>
        <w:t xml:space="preserve"> porque ya tienen los puestos cubiertos</w:t>
      </w:r>
      <w:r w:rsidR="00B03429" w:rsidRPr="001740C7">
        <w:rPr>
          <w:rFonts w:ascii="Arial" w:eastAsia="Arial" w:hAnsi="Arial" w:cs="Arial"/>
          <w:i/>
          <w:iCs/>
          <w:sz w:val="22"/>
          <w:szCs w:val="22"/>
        </w:rPr>
        <w:t>”.</w:t>
      </w:r>
      <w:r w:rsidR="00B03429" w:rsidRPr="001740C7">
        <w:rPr>
          <w:rFonts w:ascii="Arial" w:eastAsia="Arial" w:hAnsi="Arial" w:cs="Arial"/>
          <w:sz w:val="22"/>
          <w:szCs w:val="22"/>
        </w:rPr>
        <w:t xml:space="preserve"> </w:t>
      </w:r>
    </w:p>
    <w:p w14:paraId="667EAD24" w14:textId="77777777" w:rsidR="008B0BEA" w:rsidRPr="001740C7" w:rsidRDefault="008B0BEA" w:rsidP="00882FCB">
      <w:pPr>
        <w:spacing w:line="276" w:lineRule="auto"/>
        <w:jc w:val="both"/>
        <w:rPr>
          <w:rFonts w:ascii="Arial" w:eastAsia="Arial" w:hAnsi="Arial" w:cs="Arial"/>
          <w:sz w:val="22"/>
          <w:szCs w:val="22"/>
        </w:rPr>
      </w:pPr>
    </w:p>
    <w:p w14:paraId="2AAE2E71" w14:textId="21C4AD30" w:rsidR="002C01E7" w:rsidRPr="001740C7" w:rsidRDefault="001740C7" w:rsidP="00882FCB">
      <w:pPr>
        <w:spacing w:line="276" w:lineRule="auto"/>
        <w:jc w:val="both"/>
        <w:rPr>
          <w:rFonts w:ascii="Arial" w:eastAsia="Arial" w:hAnsi="Arial" w:cs="Arial"/>
          <w:sz w:val="22"/>
          <w:szCs w:val="22"/>
        </w:rPr>
      </w:pPr>
      <w:bookmarkStart w:id="6" w:name="_Hlk136957661"/>
      <w:r w:rsidRPr="001740C7">
        <w:rPr>
          <w:rFonts w:ascii="Arial" w:eastAsia="Arial" w:hAnsi="Arial" w:cs="Arial"/>
          <w:noProof/>
          <w:sz w:val="22"/>
          <w:szCs w:val="22"/>
        </w:rPr>
        <w:drawing>
          <wp:inline distT="0" distB="0" distL="0" distR="0" wp14:anchorId="16A3A7DB" wp14:editId="601F09B7">
            <wp:extent cx="5746750" cy="187076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71074" cy="1878681"/>
                    </a:xfrm>
                    <a:prstGeom prst="rect">
                      <a:avLst/>
                    </a:prstGeom>
                    <a:noFill/>
                  </pic:spPr>
                </pic:pic>
              </a:graphicData>
            </a:graphic>
          </wp:inline>
        </w:drawing>
      </w:r>
    </w:p>
    <w:bookmarkEnd w:id="6"/>
    <w:p w14:paraId="4A4F6632" w14:textId="1134E002" w:rsidR="002C01E7" w:rsidRDefault="002C01E7" w:rsidP="00882FCB">
      <w:pPr>
        <w:spacing w:line="276" w:lineRule="auto"/>
        <w:jc w:val="both"/>
        <w:rPr>
          <w:rFonts w:ascii="Arial" w:eastAsia="Arial" w:hAnsi="Arial" w:cs="Arial"/>
          <w:sz w:val="22"/>
          <w:szCs w:val="22"/>
        </w:rPr>
      </w:pPr>
    </w:p>
    <w:p w14:paraId="348270D6" w14:textId="77777777" w:rsidR="001740C7" w:rsidRPr="001740C7" w:rsidRDefault="001740C7" w:rsidP="00882FCB">
      <w:pPr>
        <w:spacing w:line="276" w:lineRule="auto"/>
        <w:jc w:val="both"/>
        <w:rPr>
          <w:rFonts w:ascii="Arial" w:eastAsia="Arial" w:hAnsi="Arial" w:cs="Arial"/>
          <w:sz w:val="22"/>
          <w:szCs w:val="22"/>
        </w:rPr>
      </w:pPr>
    </w:p>
    <w:p w14:paraId="05151DD6" w14:textId="0B2F9FDB" w:rsidR="002C01E7" w:rsidRPr="001740C7" w:rsidRDefault="004958BB" w:rsidP="00882FCB">
      <w:pPr>
        <w:spacing w:line="276" w:lineRule="auto"/>
        <w:jc w:val="both"/>
        <w:rPr>
          <w:rFonts w:ascii="Arial" w:eastAsia="Arial" w:hAnsi="Arial" w:cs="Arial"/>
          <w:b/>
          <w:bCs/>
          <w:sz w:val="22"/>
          <w:szCs w:val="22"/>
        </w:rPr>
      </w:pPr>
      <w:r w:rsidRPr="001740C7">
        <w:rPr>
          <w:rFonts w:ascii="Arial" w:eastAsia="Arial" w:hAnsi="Arial" w:cs="Arial"/>
          <w:b/>
          <w:bCs/>
          <w:sz w:val="22"/>
          <w:szCs w:val="22"/>
        </w:rPr>
        <w:t>Cataluña y Baleares, las regiones más optimistas en creación de empleo este verano</w:t>
      </w:r>
    </w:p>
    <w:p w14:paraId="3436E772" w14:textId="36845079" w:rsidR="004958BB" w:rsidRPr="001740C7" w:rsidRDefault="004958BB" w:rsidP="00882FCB">
      <w:pPr>
        <w:spacing w:line="276" w:lineRule="auto"/>
        <w:jc w:val="both"/>
        <w:rPr>
          <w:rFonts w:ascii="Arial" w:eastAsia="Arial" w:hAnsi="Arial" w:cs="Arial"/>
          <w:sz w:val="22"/>
          <w:szCs w:val="22"/>
        </w:rPr>
      </w:pPr>
      <w:r w:rsidRPr="001740C7">
        <w:rPr>
          <w:rFonts w:ascii="Arial" w:eastAsia="Arial" w:hAnsi="Arial" w:cs="Arial"/>
          <w:sz w:val="22"/>
          <w:szCs w:val="22"/>
        </w:rPr>
        <w:t xml:space="preserve">Respecto al trimestre anterior, todas las zonas </w:t>
      </w:r>
      <w:r w:rsidR="001740C7">
        <w:rPr>
          <w:rFonts w:ascii="Arial" w:eastAsia="Arial" w:hAnsi="Arial" w:cs="Arial"/>
          <w:sz w:val="22"/>
          <w:szCs w:val="22"/>
        </w:rPr>
        <w:t>mejoran sus previsiones</w:t>
      </w:r>
      <w:r w:rsidRPr="001740C7">
        <w:rPr>
          <w:rFonts w:ascii="Arial" w:eastAsia="Arial" w:hAnsi="Arial" w:cs="Arial"/>
          <w:sz w:val="22"/>
          <w:szCs w:val="22"/>
        </w:rPr>
        <w:t xml:space="preserve">. </w:t>
      </w:r>
      <w:r w:rsidRPr="001740C7">
        <w:rPr>
          <w:rFonts w:ascii="Arial" w:eastAsia="Arial" w:hAnsi="Arial" w:cs="Arial"/>
          <w:b/>
          <w:bCs/>
          <w:sz w:val="22"/>
          <w:szCs w:val="22"/>
        </w:rPr>
        <w:t>El mejor pronóstico se concentra en la zona Noreste (Cataluña y Baleares) con una proyección neta del 29%,</w:t>
      </w:r>
      <w:r w:rsidRPr="001740C7">
        <w:rPr>
          <w:rFonts w:ascii="Arial" w:eastAsia="Arial" w:hAnsi="Arial" w:cs="Arial"/>
          <w:sz w:val="22"/>
          <w:szCs w:val="22"/>
        </w:rPr>
        <w:t xml:space="preserve"> 22 puntos por encima respecto </w:t>
      </w:r>
      <w:r w:rsidR="00533536" w:rsidRPr="001740C7">
        <w:rPr>
          <w:rFonts w:ascii="Arial" w:eastAsia="Arial" w:hAnsi="Arial" w:cs="Arial"/>
          <w:sz w:val="22"/>
          <w:szCs w:val="22"/>
        </w:rPr>
        <w:t xml:space="preserve">a </w:t>
      </w:r>
      <w:r w:rsidRPr="001740C7">
        <w:rPr>
          <w:rFonts w:ascii="Arial" w:eastAsia="Arial" w:hAnsi="Arial" w:cs="Arial"/>
          <w:sz w:val="22"/>
          <w:szCs w:val="22"/>
        </w:rPr>
        <w:t>abril-junio.</w:t>
      </w:r>
    </w:p>
    <w:p w14:paraId="2C8BE99D" w14:textId="499C05D5" w:rsidR="004958BB" w:rsidRPr="001740C7" w:rsidRDefault="004958BB" w:rsidP="00882FCB">
      <w:pPr>
        <w:spacing w:line="276" w:lineRule="auto"/>
        <w:jc w:val="both"/>
        <w:rPr>
          <w:rFonts w:ascii="Arial" w:eastAsia="Arial" w:hAnsi="Arial" w:cs="Arial"/>
          <w:sz w:val="22"/>
          <w:szCs w:val="22"/>
        </w:rPr>
      </w:pPr>
    </w:p>
    <w:p w14:paraId="5709A588" w14:textId="0C4C468F" w:rsidR="004958BB" w:rsidRDefault="004958BB" w:rsidP="00882FCB">
      <w:pPr>
        <w:spacing w:line="276" w:lineRule="auto"/>
        <w:jc w:val="both"/>
        <w:rPr>
          <w:rFonts w:ascii="Arial" w:eastAsia="Arial" w:hAnsi="Arial" w:cs="Arial"/>
          <w:sz w:val="22"/>
          <w:szCs w:val="22"/>
        </w:rPr>
      </w:pPr>
      <w:r w:rsidRPr="001740C7">
        <w:rPr>
          <w:rFonts w:ascii="Arial" w:eastAsia="Arial" w:hAnsi="Arial" w:cs="Arial"/>
          <w:sz w:val="22"/>
          <w:szCs w:val="22"/>
        </w:rPr>
        <w:t>Las empresas</w:t>
      </w:r>
      <w:r>
        <w:rPr>
          <w:rFonts w:ascii="Arial" w:eastAsia="Arial" w:hAnsi="Arial" w:cs="Arial"/>
          <w:sz w:val="22"/>
          <w:szCs w:val="22"/>
        </w:rPr>
        <w:t xml:space="preserve"> de la </w:t>
      </w:r>
      <w:r w:rsidRPr="004958BB">
        <w:rPr>
          <w:rFonts w:ascii="Arial" w:eastAsia="Arial" w:hAnsi="Arial" w:cs="Arial"/>
          <w:b/>
          <w:bCs/>
          <w:sz w:val="22"/>
          <w:szCs w:val="22"/>
        </w:rPr>
        <w:t>zona Sur (Andalucía, Canarias y Extremadura) también mantienen el optimismo</w:t>
      </w:r>
      <w:r>
        <w:rPr>
          <w:rFonts w:ascii="Arial" w:eastAsia="Arial" w:hAnsi="Arial" w:cs="Arial"/>
          <w:sz w:val="22"/>
          <w:szCs w:val="22"/>
        </w:rPr>
        <w:t xml:space="preserve"> que ya </w:t>
      </w:r>
      <w:r w:rsidR="001740C7">
        <w:rPr>
          <w:rFonts w:ascii="Arial" w:eastAsia="Arial" w:hAnsi="Arial" w:cs="Arial"/>
          <w:sz w:val="22"/>
          <w:szCs w:val="22"/>
        </w:rPr>
        <w:t xml:space="preserve">apuntaban </w:t>
      </w:r>
      <w:r>
        <w:rPr>
          <w:rFonts w:ascii="Arial" w:eastAsia="Arial" w:hAnsi="Arial" w:cs="Arial"/>
          <w:sz w:val="22"/>
          <w:szCs w:val="22"/>
        </w:rPr>
        <w:t>en el segundo trimestre</w:t>
      </w:r>
      <w:r w:rsidR="001740C7">
        <w:rPr>
          <w:rFonts w:ascii="Arial" w:eastAsia="Arial" w:hAnsi="Arial" w:cs="Arial"/>
          <w:sz w:val="22"/>
          <w:szCs w:val="22"/>
        </w:rPr>
        <w:t>,</w:t>
      </w:r>
      <w:r>
        <w:rPr>
          <w:rFonts w:ascii="Arial" w:eastAsia="Arial" w:hAnsi="Arial" w:cs="Arial"/>
          <w:sz w:val="22"/>
          <w:szCs w:val="22"/>
        </w:rPr>
        <w:t xml:space="preserve"> al incrementa</w:t>
      </w:r>
      <w:r w:rsidR="001740C7">
        <w:rPr>
          <w:rFonts w:ascii="Arial" w:eastAsia="Arial" w:hAnsi="Arial" w:cs="Arial"/>
          <w:sz w:val="22"/>
          <w:szCs w:val="22"/>
        </w:rPr>
        <w:t>r</w:t>
      </w:r>
      <w:r>
        <w:rPr>
          <w:rFonts w:ascii="Arial" w:eastAsia="Arial" w:hAnsi="Arial" w:cs="Arial"/>
          <w:sz w:val="22"/>
          <w:szCs w:val="22"/>
        </w:rPr>
        <w:t xml:space="preserve"> en cuatro puntos hasta el 26%. Le</w:t>
      </w:r>
      <w:r w:rsidR="001740C7">
        <w:rPr>
          <w:rFonts w:ascii="Arial" w:eastAsia="Arial" w:hAnsi="Arial" w:cs="Arial"/>
          <w:sz w:val="22"/>
          <w:szCs w:val="22"/>
        </w:rPr>
        <w:t>s</w:t>
      </w:r>
      <w:r>
        <w:rPr>
          <w:rFonts w:ascii="Arial" w:eastAsia="Arial" w:hAnsi="Arial" w:cs="Arial"/>
          <w:sz w:val="22"/>
          <w:szCs w:val="22"/>
        </w:rPr>
        <w:t xml:space="preserve"> sigue </w:t>
      </w:r>
      <w:r w:rsidRPr="004958BB">
        <w:rPr>
          <w:rFonts w:ascii="Arial" w:eastAsia="Arial" w:hAnsi="Arial" w:cs="Arial"/>
          <w:b/>
          <w:bCs/>
          <w:sz w:val="22"/>
          <w:szCs w:val="22"/>
        </w:rPr>
        <w:t xml:space="preserve">Centro (Madrid y Castilla-La Mancha), </w:t>
      </w:r>
      <w:r w:rsidRPr="00533536">
        <w:rPr>
          <w:rFonts w:ascii="Arial" w:eastAsia="Arial" w:hAnsi="Arial" w:cs="Arial"/>
          <w:sz w:val="22"/>
          <w:szCs w:val="22"/>
        </w:rPr>
        <w:t>con un 19%</w:t>
      </w:r>
      <w:r w:rsidR="00533536" w:rsidRPr="00533536">
        <w:rPr>
          <w:rFonts w:ascii="Arial" w:eastAsia="Arial" w:hAnsi="Arial" w:cs="Arial"/>
          <w:sz w:val="22"/>
          <w:szCs w:val="22"/>
        </w:rPr>
        <w:t>,</w:t>
      </w:r>
      <w:r>
        <w:rPr>
          <w:rFonts w:ascii="Arial" w:eastAsia="Arial" w:hAnsi="Arial" w:cs="Arial"/>
          <w:sz w:val="22"/>
          <w:szCs w:val="22"/>
        </w:rPr>
        <w:t xml:space="preserve"> y </w:t>
      </w:r>
      <w:r w:rsidRPr="00533536">
        <w:rPr>
          <w:rFonts w:ascii="Arial" w:eastAsia="Arial" w:hAnsi="Arial" w:cs="Arial"/>
          <w:b/>
          <w:bCs/>
          <w:sz w:val="22"/>
          <w:szCs w:val="22"/>
        </w:rPr>
        <w:t>Levante</w:t>
      </w:r>
      <w:r>
        <w:rPr>
          <w:rFonts w:ascii="Arial" w:eastAsia="Arial" w:hAnsi="Arial" w:cs="Arial"/>
          <w:sz w:val="22"/>
          <w:szCs w:val="22"/>
        </w:rPr>
        <w:t xml:space="preserve"> </w:t>
      </w:r>
      <w:r w:rsidRPr="008D39F2">
        <w:rPr>
          <w:rFonts w:ascii="Arial" w:eastAsia="Arial" w:hAnsi="Arial" w:cs="Arial"/>
          <w:b/>
          <w:bCs/>
          <w:sz w:val="22"/>
          <w:szCs w:val="22"/>
        </w:rPr>
        <w:t>(Comunidad Valenciana y Región de Murcia)</w:t>
      </w:r>
      <w:r w:rsidRPr="008D39F2">
        <w:rPr>
          <w:rFonts w:ascii="Arial" w:eastAsia="Arial" w:hAnsi="Arial" w:cs="Arial"/>
          <w:sz w:val="22"/>
          <w:szCs w:val="22"/>
        </w:rPr>
        <w:t>,</w:t>
      </w:r>
      <w:r>
        <w:rPr>
          <w:rFonts w:ascii="Arial" w:eastAsia="Arial" w:hAnsi="Arial" w:cs="Arial"/>
          <w:sz w:val="22"/>
          <w:szCs w:val="22"/>
        </w:rPr>
        <w:t xml:space="preserve"> con un 17%, 10 puntos por encima del segundo trimestre. </w:t>
      </w:r>
    </w:p>
    <w:p w14:paraId="44FFB1DD" w14:textId="77777777" w:rsidR="004958BB" w:rsidRDefault="004958BB" w:rsidP="00882FCB">
      <w:pPr>
        <w:spacing w:line="276" w:lineRule="auto"/>
        <w:jc w:val="both"/>
        <w:rPr>
          <w:rFonts w:ascii="Arial" w:eastAsia="Arial" w:hAnsi="Arial" w:cs="Arial"/>
          <w:sz w:val="22"/>
          <w:szCs w:val="22"/>
        </w:rPr>
      </w:pPr>
    </w:p>
    <w:p w14:paraId="4F9647B3" w14:textId="16CFB769" w:rsidR="004958BB" w:rsidRDefault="004958BB" w:rsidP="00882FCB">
      <w:pPr>
        <w:spacing w:line="276" w:lineRule="auto"/>
        <w:jc w:val="both"/>
        <w:rPr>
          <w:rFonts w:ascii="Arial" w:eastAsiaTheme="minorEastAsia" w:hAnsi="Arial" w:cs="Arial"/>
          <w:sz w:val="22"/>
          <w:szCs w:val="22"/>
          <w:lang w:eastAsia="zh-CN"/>
        </w:rPr>
      </w:pPr>
      <w:r>
        <w:rPr>
          <w:rFonts w:ascii="Arial" w:eastAsia="Arial" w:hAnsi="Arial" w:cs="Arial"/>
          <w:sz w:val="22"/>
          <w:szCs w:val="22"/>
        </w:rPr>
        <w:lastRenderedPageBreak/>
        <w:t xml:space="preserve">Las </w:t>
      </w:r>
      <w:r w:rsidR="00894DEA">
        <w:rPr>
          <w:rFonts w:ascii="Arial" w:eastAsia="Arial" w:hAnsi="Arial" w:cs="Arial"/>
          <w:sz w:val="22"/>
          <w:szCs w:val="22"/>
        </w:rPr>
        <w:t>z</w:t>
      </w:r>
      <w:r>
        <w:rPr>
          <w:rFonts w:ascii="Arial" w:eastAsia="Arial" w:hAnsi="Arial" w:cs="Arial"/>
          <w:sz w:val="22"/>
          <w:szCs w:val="22"/>
        </w:rPr>
        <w:t xml:space="preserve">onas </w:t>
      </w:r>
      <w:r w:rsidRPr="00687087">
        <w:rPr>
          <w:rFonts w:ascii="Arial" w:eastAsiaTheme="minorEastAsia" w:hAnsi="Arial" w:cs="Arial"/>
          <w:b/>
          <w:bCs/>
          <w:sz w:val="22"/>
          <w:szCs w:val="22"/>
          <w:lang w:eastAsia="zh-CN"/>
        </w:rPr>
        <w:t>Norte</w:t>
      </w:r>
      <w:r w:rsidRPr="00687087">
        <w:rPr>
          <w:rFonts w:ascii="Arial" w:eastAsiaTheme="minorEastAsia" w:hAnsi="Arial" w:cs="Arial"/>
          <w:sz w:val="22"/>
          <w:szCs w:val="22"/>
          <w:lang w:eastAsia="zh-CN"/>
        </w:rPr>
        <w:t xml:space="preserve"> </w:t>
      </w:r>
      <w:r w:rsidRPr="008D39F2">
        <w:rPr>
          <w:rFonts w:ascii="Arial" w:eastAsiaTheme="minorEastAsia" w:hAnsi="Arial" w:cs="Arial"/>
          <w:b/>
          <w:bCs/>
          <w:sz w:val="22"/>
          <w:szCs w:val="22"/>
          <w:lang w:eastAsia="zh-CN"/>
        </w:rPr>
        <w:t>(Aragón, Cantabria, La Rioja, Navarra y País Vasco)</w:t>
      </w:r>
      <w:r w:rsidRPr="00687087">
        <w:rPr>
          <w:rFonts w:ascii="Arial" w:eastAsiaTheme="minorEastAsia" w:hAnsi="Arial" w:cs="Arial"/>
          <w:sz w:val="22"/>
          <w:szCs w:val="22"/>
          <w:lang w:eastAsia="zh-CN"/>
        </w:rPr>
        <w:t xml:space="preserve"> y </w:t>
      </w:r>
      <w:r w:rsidRPr="008D39F2">
        <w:rPr>
          <w:rFonts w:ascii="Arial" w:eastAsiaTheme="minorEastAsia" w:hAnsi="Arial" w:cs="Arial"/>
          <w:b/>
          <w:bCs/>
          <w:sz w:val="22"/>
          <w:szCs w:val="22"/>
          <w:lang w:eastAsia="zh-CN"/>
        </w:rPr>
        <w:t>Noroeste (Galicia, Asturias y Castilla y León)</w:t>
      </w:r>
      <w:r>
        <w:rPr>
          <w:rFonts w:ascii="Arial" w:eastAsiaTheme="minorEastAsia" w:hAnsi="Arial" w:cs="Arial"/>
          <w:sz w:val="22"/>
          <w:szCs w:val="22"/>
          <w:lang w:eastAsia="zh-CN"/>
        </w:rPr>
        <w:t xml:space="preserve"> son las más prudentes en sus estimaciones, con un 14% de proyección neta, aunque presentan un crecimiento intertrimestral de 9 puntos. </w:t>
      </w:r>
    </w:p>
    <w:p w14:paraId="24E2E28D" w14:textId="77777777" w:rsidR="008B0BEA" w:rsidRDefault="008B0BEA" w:rsidP="00882FCB">
      <w:pPr>
        <w:spacing w:line="276" w:lineRule="auto"/>
        <w:jc w:val="both"/>
        <w:rPr>
          <w:rFonts w:ascii="Arial" w:eastAsiaTheme="minorEastAsia" w:hAnsi="Arial" w:cs="Arial"/>
          <w:sz w:val="22"/>
          <w:szCs w:val="22"/>
          <w:lang w:eastAsia="zh-CN"/>
        </w:rPr>
      </w:pPr>
    </w:p>
    <w:bookmarkEnd w:id="5"/>
    <w:p w14:paraId="3B0DE258" w14:textId="25C657EE" w:rsidR="001740C7" w:rsidRPr="001740C7" w:rsidRDefault="001740C7" w:rsidP="008B0BEA">
      <w:pPr>
        <w:spacing w:line="276" w:lineRule="auto"/>
        <w:jc w:val="both"/>
        <w:rPr>
          <w:rFonts w:ascii="Arial" w:eastAsia="Arial" w:hAnsi="Arial" w:cs="Arial"/>
          <w:sz w:val="22"/>
          <w:szCs w:val="22"/>
        </w:rPr>
      </w:pPr>
      <w:r w:rsidRPr="001740C7">
        <w:rPr>
          <w:rFonts w:ascii="Arial" w:eastAsia="Arial" w:hAnsi="Arial" w:cs="Arial"/>
          <w:noProof/>
          <w:sz w:val="22"/>
          <w:szCs w:val="22"/>
        </w:rPr>
        <w:drawing>
          <wp:inline distT="0" distB="0" distL="0" distR="0" wp14:anchorId="4DD0229B" wp14:editId="7C90022A">
            <wp:extent cx="5753100" cy="1953154"/>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2575" cy="1963161"/>
                    </a:xfrm>
                    <a:prstGeom prst="rect">
                      <a:avLst/>
                    </a:prstGeom>
                    <a:noFill/>
                  </pic:spPr>
                </pic:pic>
              </a:graphicData>
            </a:graphic>
          </wp:inline>
        </w:drawing>
      </w:r>
    </w:p>
    <w:p w14:paraId="0D61263F" w14:textId="4528078C" w:rsidR="001740C7" w:rsidRDefault="001740C7" w:rsidP="008B0BEA">
      <w:pPr>
        <w:spacing w:line="276" w:lineRule="auto"/>
        <w:jc w:val="both"/>
        <w:rPr>
          <w:rFonts w:ascii="Arial" w:eastAsia="Arial" w:hAnsi="Arial" w:cs="Arial"/>
          <w:sz w:val="22"/>
          <w:szCs w:val="22"/>
        </w:rPr>
      </w:pPr>
    </w:p>
    <w:p w14:paraId="2BB667A4" w14:textId="77777777" w:rsidR="001740C7" w:rsidRPr="001740C7" w:rsidRDefault="001740C7" w:rsidP="008B0BEA">
      <w:pPr>
        <w:spacing w:line="276" w:lineRule="auto"/>
        <w:jc w:val="both"/>
        <w:rPr>
          <w:rFonts w:ascii="Arial" w:eastAsia="Arial" w:hAnsi="Arial" w:cs="Arial"/>
          <w:sz w:val="22"/>
          <w:szCs w:val="22"/>
        </w:rPr>
      </w:pPr>
    </w:p>
    <w:p w14:paraId="4FEED6A1" w14:textId="1903976F" w:rsidR="00D3343D" w:rsidRPr="00D3343D" w:rsidRDefault="00D3343D" w:rsidP="00825CE9">
      <w:pPr>
        <w:spacing w:line="276" w:lineRule="auto"/>
        <w:jc w:val="both"/>
        <w:rPr>
          <w:rFonts w:ascii="Arial" w:eastAsiaTheme="minorEastAsia" w:hAnsi="Arial" w:cs="Arial"/>
          <w:b/>
          <w:bCs/>
          <w:sz w:val="22"/>
          <w:szCs w:val="22"/>
          <w:lang w:eastAsia="zh-CN"/>
        </w:rPr>
      </w:pPr>
      <w:r w:rsidRPr="001740C7">
        <w:rPr>
          <w:rFonts w:ascii="Arial" w:eastAsiaTheme="minorEastAsia" w:hAnsi="Arial" w:cs="Arial"/>
          <w:b/>
          <w:bCs/>
          <w:sz w:val="22"/>
          <w:szCs w:val="22"/>
          <w:lang w:eastAsia="zh-CN"/>
        </w:rPr>
        <w:t>Las pequeñas empresas</w:t>
      </w:r>
      <w:r w:rsidRPr="00D3343D">
        <w:rPr>
          <w:rFonts w:ascii="Arial" w:eastAsiaTheme="minorEastAsia" w:hAnsi="Arial" w:cs="Arial"/>
          <w:b/>
          <w:bCs/>
          <w:sz w:val="22"/>
          <w:szCs w:val="22"/>
          <w:lang w:eastAsia="zh-CN"/>
        </w:rPr>
        <w:t xml:space="preserve"> </w:t>
      </w:r>
      <w:r w:rsidR="001740C7">
        <w:rPr>
          <w:rFonts w:ascii="Arial" w:eastAsiaTheme="minorEastAsia" w:hAnsi="Arial" w:cs="Arial"/>
          <w:b/>
          <w:bCs/>
          <w:sz w:val="22"/>
          <w:szCs w:val="22"/>
          <w:lang w:eastAsia="zh-CN"/>
        </w:rPr>
        <w:t xml:space="preserve">incrementan </w:t>
      </w:r>
      <w:r w:rsidRPr="00D3343D">
        <w:rPr>
          <w:rFonts w:ascii="Arial" w:eastAsiaTheme="minorEastAsia" w:hAnsi="Arial" w:cs="Arial"/>
          <w:b/>
          <w:bCs/>
          <w:sz w:val="22"/>
          <w:szCs w:val="22"/>
          <w:lang w:eastAsia="zh-CN"/>
        </w:rPr>
        <w:t>su optimismo</w:t>
      </w:r>
    </w:p>
    <w:p w14:paraId="4084CA8F" w14:textId="39D52B8F" w:rsidR="001319E5" w:rsidRDefault="00D3343D" w:rsidP="00825CE9">
      <w:pPr>
        <w:spacing w:line="276" w:lineRule="auto"/>
        <w:jc w:val="both"/>
        <w:rPr>
          <w:rFonts w:ascii="Arial" w:eastAsiaTheme="minorEastAsia" w:hAnsi="Arial" w:cs="Arial"/>
          <w:sz w:val="22"/>
          <w:szCs w:val="22"/>
          <w:lang w:eastAsia="zh-CN"/>
        </w:rPr>
      </w:pPr>
      <w:r>
        <w:rPr>
          <w:rFonts w:ascii="Arial" w:eastAsiaTheme="minorEastAsia" w:hAnsi="Arial" w:cs="Arial"/>
          <w:sz w:val="22"/>
          <w:szCs w:val="22"/>
          <w:lang w:eastAsia="zh-CN"/>
        </w:rPr>
        <w:t>Las empresas de 10 a 50 empleados crecen en 15 puntos hasta un 25%. Las medianas organizaciones (50-250 trabajadores) bajan a una segunda posición respecto al trimestre anterior, con un 24% y un crecimiento de 11 puntos.</w:t>
      </w:r>
    </w:p>
    <w:p w14:paraId="719F3DCE" w14:textId="77777777" w:rsidR="001319E5" w:rsidRDefault="001319E5" w:rsidP="00825CE9">
      <w:pPr>
        <w:spacing w:line="276" w:lineRule="auto"/>
        <w:jc w:val="both"/>
        <w:rPr>
          <w:rFonts w:ascii="Arial" w:eastAsiaTheme="minorEastAsia" w:hAnsi="Arial" w:cs="Arial"/>
          <w:sz w:val="22"/>
          <w:szCs w:val="22"/>
          <w:lang w:eastAsia="zh-CN"/>
        </w:rPr>
      </w:pPr>
    </w:p>
    <w:p w14:paraId="57533B30" w14:textId="2F6B51E2" w:rsidR="00D3343D" w:rsidRPr="00687087" w:rsidRDefault="00D3343D" w:rsidP="00825CE9">
      <w:pPr>
        <w:spacing w:line="276" w:lineRule="auto"/>
        <w:jc w:val="both"/>
        <w:rPr>
          <w:rFonts w:ascii="Arial" w:eastAsiaTheme="minorEastAsia" w:hAnsi="Arial" w:cs="Arial"/>
          <w:sz w:val="22"/>
          <w:szCs w:val="22"/>
          <w:lang w:eastAsia="zh-CN"/>
        </w:rPr>
      </w:pPr>
      <w:r>
        <w:rPr>
          <w:rFonts w:ascii="Arial" w:eastAsiaTheme="minorEastAsia" w:hAnsi="Arial" w:cs="Arial"/>
          <w:sz w:val="22"/>
          <w:szCs w:val="22"/>
          <w:lang w:eastAsia="zh-CN"/>
        </w:rPr>
        <w:t xml:space="preserve">Las </w:t>
      </w:r>
      <w:r w:rsidR="001319E5" w:rsidRPr="00687087">
        <w:rPr>
          <w:rFonts w:ascii="Arial" w:eastAsiaTheme="minorEastAsia" w:hAnsi="Arial" w:cs="Arial"/>
          <w:b/>
          <w:bCs/>
          <w:sz w:val="22"/>
          <w:szCs w:val="22"/>
          <w:lang w:eastAsia="zh-CN"/>
        </w:rPr>
        <w:t>Microempresas</w:t>
      </w:r>
      <w:r w:rsidR="001319E5" w:rsidRPr="00687087">
        <w:rPr>
          <w:rFonts w:ascii="Arial" w:eastAsiaTheme="minorEastAsia" w:hAnsi="Arial" w:cs="Arial"/>
          <w:sz w:val="22"/>
          <w:szCs w:val="22"/>
          <w:lang w:eastAsia="zh-CN"/>
        </w:rPr>
        <w:t xml:space="preserve"> (menos de 10 empleados)</w:t>
      </w:r>
      <w:r w:rsidR="001319E5">
        <w:rPr>
          <w:rFonts w:ascii="Arial" w:eastAsiaTheme="minorEastAsia" w:hAnsi="Arial" w:cs="Arial"/>
          <w:sz w:val="22"/>
          <w:szCs w:val="22"/>
          <w:lang w:eastAsia="zh-CN"/>
        </w:rPr>
        <w:t xml:space="preserve"> y </w:t>
      </w:r>
      <w:r w:rsidR="001319E5" w:rsidRPr="001319E5">
        <w:rPr>
          <w:rFonts w:ascii="Arial" w:eastAsiaTheme="minorEastAsia" w:hAnsi="Arial" w:cs="Arial"/>
          <w:b/>
          <w:bCs/>
          <w:sz w:val="22"/>
          <w:szCs w:val="22"/>
          <w:lang w:eastAsia="zh-CN"/>
        </w:rPr>
        <w:t>las grandes corporaciones</w:t>
      </w:r>
      <w:r w:rsidR="001319E5">
        <w:rPr>
          <w:rFonts w:ascii="Arial" w:eastAsiaTheme="minorEastAsia" w:hAnsi="Arial" w:cs="Arial"/>
          <w:sz w:val="22"/>
          <w:szCs w:val="22"/>
          <w:lang w:eastAsia="zh-CN"/>
        </w:rPr>
        <w:t xml:space="preserve"> </w:t>
      </w:r>
      <w:r w:rsidRPr="00687087">
        <w:rPr>
          <w:rFonts w:ascii="Arial" w:eastAsiaTheme="minorEastAsia" w:hAnsi="Arial" w:cs="Arial"/>
          <w:sz w:val="22"/>
          <w:szCs w:val="22"/>
          <w:lang w:eastAsia="zh-CN"/>
        </w:rPr>
        <w:t>(más de 250 empleados)</w:t>
      </w:r>
      <w:r w:rsidR="001319E5">
        <w:rPr>
          <w:rFonts w:ascii="Arial" w:eastAsiaTheme="minorEastAsia" w:hAnsi="Arial" w:cs="Arial"/>
          <w:sz w:val="22"/>
          <w:szCs w:val="22"/>
          <w:lang w:eastAsia="zh-CN"/>
        </w:rPr>
        <w:t xml:space="preserve"> son las menos optimistas, con un 18% de proyección, aunque crecen 6 y 8 puntos respecto los tres meses anteriores.</w:t>
      </w:r>
    </w:p>
    <w:p w14:paraId="1AB5AE30" w14:textId="77777777" w:rsidR="00390D3C" w:rsidRDefault="00390D3C" w:rsidP="00D3343D">
      <w:pPr>
        <w:spacing w:line="276" w:lineRule="auto"/>
        <w:jc w:val="both"/>
        <w:rPr>
          <w:rFonts w:ascii="Arial" w:eastAsiaTheme="minorEastAsia" w:hAnsi="Arial" w:cs="Arial"/>
          <w:sz w:val="22"/>
          <w:szCs w:val="22"/>
          <w:lang w:eastAsia="zh-CN"/>
        </w:rPr>
      </w:pPr>
    </w:p>
    <w:bookmarkEnd w:id="1"/>
    <w:p w14:paraId="660DCF65" w14:textId="0A725B07" w:rsidR="00687087" w:rsidRPr="001319E5" w:rsidRDefault="001319E5" w:rsidP="00687087">
      <w:pPr>
        <w:spacing w:line="276" w:lineRule="auto"/>
        <w:jc w:val="both"/>
        <w:rPr>
          <w:rFonts w:ascii="Arial" w:eastAsiaTheme="minorEastAsia" w:hAnsi="Arial" w:cs="Arial"/>
          <w:sz w:val="22"/>
          <w:szCs w:val="22"/>
          <w:lang w:eastAsia="zh-CN"/>
        </w:rPr>
      </w:pPr>
      <w:r w:rsidRPr="001319E5">
        <w:rPr>
          <w:rFonts w:ascii="Arial" w:eastAsiaTheme="minorEastAsia" w:hAnsi="Arial" w:cs="Arial"/>
          <w:b/>
          <w:bCs/>
          <w:sz w:val="22"/>
          <w:szCs w:val="22"/>
          <w:lang w:eastAsia="zh-CN"/>
        </w:rPr>
        <w:t xml:space="preserve">España </w:t>
      </w:r>
      <w:r w:rsidR="000068C6">
        <w:rPr>
          <w:rFonts w:ascii="Arial" w:eastAsiaTheme="minorEastAsia" w:hAnsi="Arial" w:cs="Arial"/>
          <w:b/>
          <w:bCs/>
          <w:sz w:val="22"/>
          <w:szCs w:val="22"/>
          <w:lang w:eastAsia="zh-CN"/>
        </w:rPr>
        <w:t xml:space="preserve">se acerca a </w:t>
      </w:r>
      <w:r w:rsidR="00390D3C">
        <w:rPr>
          <w:rFonts w:ascii="Arial" w:eastAsiaTheme="minorEastAsia" w:hAnsi="Arial" w:cs="Arial"/>
          <w:b/>
          <w:bCs/>
          <w:sz w:val="22"/>
          <w:szCs w:val="22"/>
          <w:lang w:eastAsia="zh-CN"/>
        </w:rPr>
        <w:t>la media global</w:t>
      </w:r>
    </w:p>
    <w:p w14:paraId="4CCED638" w14:textId="40400D88" w:rsidR="001319E5" w:rsidRPr="00A7208B" w:rsidRDefault="001319E5" w:rsidP="00A7208B">
      <w:pPr>
        <w:spacing w:line="276" w:lineRule="auto"/>
        <w:jc w:val="both"/>
        <w:rPr>
          <w:rFonts w:ascii="Arial" w:eastAsiaTheme="minorEastAsia" w:hAnsi="Arial" w:cs="Arial"/>
          <w:sz w:val="22"/>
          <w:szCs w:val="22"/>
          <w:lang w:eastAsia="zh-CN"/>
        </w:rPr>
      </w:pPr>
      <w:r>
        <w:rPr>
          <w:rFonts w:ascii="Arial" w:eastAsiaTheme="minorEastAsia" w:hAnsi="Arial" w:cs="Arial"/>
          <w:sz w:val="22"/>
          <w:szCs w:val="22"/>
          <w:lang w:eastAsia="zh-CN"/>
        </w:rPr>
        <w:t xml:space="preserve">A nivel global, el grado de optimismo </w:t>
      </w:r>
      <w:r w:rsidR="000068C6">
        <w:rPr>
          <w:rFonts w:ascii="Arial" w:eastAsiaTheme="minorEastAsia" w:hAnsi="Arial" w:cs="Arial"/>
          <w:sz w:val="22"/>
          <w:szCs w:val="22"/>
          <w:lang w:eastAsia="zh-CN"/>
        </w:rPr>
        <w:t>crece</w:t>
      </w:r>
      <w:r>
        <w:rPr>
          <w:rFonts w:ascii="Arial" w:eastAsiaTheme="minorEastAsia" w:hAnsi="Arial" w:cs="Arial"/>
          <w:sz w:val="22"/>
          <w:szCs w:val="22"/>
          <w:lang w:eastAsia="zh-CN"/>
        </w:rPr>
        <w:t xml:space="preserve"> en la comparativa intertrimestral</w:t>
      </w:r>
      <w:r w:rsidR="000068C6">
        <w:rPr>
          <w:rFonts w:ascii="Arial" w:eastAsiaTheme="minorEastAsia" w:hAnsi="Arial" w:cs="Arial"/>
          <w:sz w:val="22"/>
          <w:szCs w:val="22"/>
          <w:lang w:eastAsia="zh-CN"/>
        </w:rPr>
        <w:t xml:space="preserve">, concretamente 5 puntos, </w:t>
      </w:r>
      <w:r>
        <w:rPr>
          <w:rFonts w:ascii="Arial" w:eastAsiaTheme="minorEastAsia" w:hAnsi="Arial" w:cs="Arial"/>
          <w:sz w:val="22"/>
          <w:szCs w:val="22"/>
          <w:lang w:eastAsia="zh-CN"/>
        </w:rPr>
        <w:t>con unas previsiones netas del 28%. España se sitúa así 8 puntos por debajo de esta media</w:t>
      </w:r>
      <w:r w:rsidR="000068C6">
        <w:rPr>
          <w:rFonts w:ascii="Arial" w:eastAsiaTheme="minorEastAsia" w:hAnsi="Arial" w:cs="Arial"/>
          <w:sz w:val="22"/>
          <w:szCs w:val="22"/>
          <w:lang w:eastAsia="zh-CN"/>
        </w:rPr>
        <w:t>,</w:t>
      </w:r>
      <w:r w:rsidR="000068C6" w:rsidRPr="000068C6">
        <w:rPr>
          <w:rFonts w:ascii="Arial" w:eastAsiaTheme="minorEastAsia" w:hAnsi="Arial" w:cs="Arial"/>
          <w:sz w:val="22"/>
          <w:szCs w:val="22"/>
          <w:lang w:eastAsia="zh-CN"/>
        </w:rPr>
        <w:t xml:space="preserve"> en línea con Francia (21%) y por delante de Italia (11%).</w:t>
      </w:r>
      <w:r w:rsidR="000068C6">
        <w:rPr>
          <w:rFonts w:ascii="Arial" w:eastAsiaTheme="minorEastAsia" w:hAnsi="Arial" w:cs="Arial"/>
          <w:sz w:val="22"/>
          <w:szCs w:val="22"/>
          <w:lang w:eastAsia="zh-CN"/>
        </w:rPr>
        <w:t xml:space="preserve"> Portugal se sitúa por encima de la media española y roza la global, con un 27%, tras un crecimiento de 11 puntos</w:t>
      </w:r>
      <w:r w:rsidR="00231877">
        <w:rPr>
          <w:rFonts w:ascii="Arial" w:eastAsiaTheme="minorEastAsia" w:hAnsi="Arial" w:cs="Arial"/>
          <w:sz w:val="22"/>
          <w:szCs w:val="22"/>
          <w:lang w:eastAsia="zh-CN"/>
        </w:rPr>
        <w:t xml:space="preserve"> en comparación con los últimos 3 meses</w:t>
      </w:r>
      <w:r w:rsidR="000068C6">
        <w:rPr>
          <w:rFonts w:ascii="Arial" w:eastAsiaTheme="minorEastAsia" w:hAnsi="Arial" w:cs="Arial"/>
          <w:sz w:val="22"/>
          <w:szCs w:val="22"/>
          <w:lang w:eastAsia="zh-CN"/>
        </w:rPr>
        <w:t>.</w:t>
      </w:r>
    </w:p>
    <w:p w14:paraId="2B920BD6" w14:textId="77777777" w:rsidR="001319E5" w:rsidRDefault="001319E5" w:rsidP="001319E5">
      <w:pPr>
        <w:spacing w:line="276" w:lineRule="auto"/>
        <w:jc w:val="both"/>
        <w:rPr>
          <w:rFonts w:ascii="Arial" w:eastAsiaTheme="minorEastAsia" w:hAnsi="Arial" w:cs="Arial"/>
          <w:sz w:val="22"/>
          <w:szCs w:val="22"/>
          <w:lang w:eastAsia="zh-CN"/>
        </w:rPr>
      </w:pPr>
    </w:p>
    <w:p w14:paraId="68297805" w14:textId="0FC44047" w:rsidR="00533536" w:rsidRDefault="000068C6" w:rsidP="00D27B5C">
      <w:pPr>
        <w:spacing w:line="276" w:lineRule="auto"/>
        <w:jc w:val="both"/>
        <w:rPr>
          <w:rFonts w:ascii="Arial" w:eastAsiaTheme="minorEastAsia" w:hAnsi="Arial" w:cs="Arial"/>
          <w:sz w:val="22"/>
          <w:szCs w:val="22"/>
          <w:lang w:eastAsia="zh-CN"/>
        </w:rPr>
      </w:pPr>
      <w:r>
        <w:rPr>
          <w:rFonts w:ascii="Arial" w:eastAsiaTheme="minorEastAsia" w:hAnsi="Arial" w:cs="Arial"/>
          <w:b/>
          <w:bCs/>
          <w:sz w:val="22"/>
          <w:szCs w:val="22"/>
          <w:lang w:eastAsia="zh-CN"/>
        </w:rPr>
        <w:t xml:space="preserve">Costa Rica (43%) y </w:t>
      </w:r>
      <w:r w:rsidR="00EF7ED2" w:rsidRPr="00533536">
        <w:rPr>
          <w:rFonts w:ascii="Arial" w:eastAsiaTheme="minorEastAsia" w:hAnsi="Arial" w:cs="Arial"/>
          <w:b/>
          <w:bCs/>
          <w:sz w:val="22"/>
          <w:szCs w:val="22"/>
          <w:lang w:eastAsia="zh-CN"/>
        </w:rPr>
        <w:t>Países Bajos</w:t>
      </w:r>
      <w:r>
        <w:rPr>
          <w:rFonts w:ascii="Arial" w:eastAsiaTheme="minorEastAsia" w:hAnsi="Arial" w:cs="Arial"/>
          <w:b/>
          <w:bCs/>
          <w:sz w:val="22"/>
          <w:szCs w:val="22"/>
          <w:lang w:eastAsia="zh-CN"/>
        </w:rPr>
        <w:t xml:space="preserve"> (</w:t>
      </w:r>
      <w:r w:rsidR="00EF7ED2" w:rsidRPr="00533536">
        <w:rPr>
          <w:rFonts w:ascii="Arial" w:eastAsiaTheme="minorEastAsia" w:hAnsi="Arial" w:cs="Arial"/>
          <w:b/>
          <w:bCs/>
          <w:sz w:val="22"/>
          <w:szCs w:val="22"/>
          <w:lang w:eastAsia="zh-CN"/>
        </w:rPr>
        <w:t>39%</w:t>
      </w:r>
      <w:r>
        <w:rPr>
          <w:rFonts w:ascii="Arial" w:eastAsiaTheme="minorEastAsia" w:hAnsi="Arial" w:cs="Arial"/>
          <w:b/>
          <w:bCs/>
          <w:sz w:val="22"/>
          <w:szCs w:val="22"/>
          <w:lang w:eastAsia="zh-CN"/>
        </w:rPr>
        <w:t>) son los</w:t>
      </w:r>
      <w:r w:rsidR="00390D3C">
        <w:rPr>
          <w:rFonts w:ascii="Arial" w:eastAsiaTheme="minorEastAsia" w:hAnsi="Arial" w:cs="Arial"/>
          <w:b/>
          <w:bCs/>
          <w:sz w:val="22"/>
          <w:szCs w:val="22"/>
          <w:lang w:eastAsia="zh-CN"/>
        </w:rPr>
        <w:t xml:space="preserve"> mercado</w:t>
      </w:r>
      <w:r>
        <w:rPr>
          <w:rFonts w:ascii="Arial" w:eastAsiaTheme="minorEastAsia" w:hAnsi="Arial" w:cs="Arial"/>
          <w:b/>
          <w:bCs/>
          <w:sz w:val="22"/>
          <w:szCs w:val="22"/>
          <w:lang w:eastAsia="zh-CN"/>
        </w:rPr>
        <w:t>s</w:t>
      </w:r>
      <w:r w:rsidR="00390D3C">
        <w:rPr>
          <w:rFonts w:ascii="Arial" w:eastAsiaTheme="minorEastAsia" w:hAnsi="Arial" w:cs="Arial"/>
          <w:b/>
          <w:bCs/>
          <w:sz w:val="22"/>
          <w:szCs w:val="22"/>
          <w:lang w:eastAsia="zh-CN"/>
        </w:rPr>
        <w:t xml:space="preserve"> </w:t>
      </w:r>
      <w:r w:rsidR="00EF7ED2" w:rsidRPr="00533536">
        <w:rPr>
          <w:rFonts w:ascii="Arial" w:eastAsiaTheme="minorEastAsia" w:hAnsi="Arial" w:cs="Arial"/>
          <w:b/>
          <w:bCs/>
          <w:sz w:val="22"/>
          <w:szCs w:val="22"/>
          <w:lang w:eastAsia="zh-CN"/>
        </w:rPr>
        <w:t>más optimista</w:t>
      </w:r>
      <w:r>
        <w:rPr>
          <w:rFonts w:ascii="Arial" w:eastAsiaTheme="minorEastAsia" w:hAnsi="Arial" w:cs="Arial"/>
          <w:b/>
          <w:bCs/>
          <w:sz w:val="22"/>
          <w:szCs w:val="22"/>
          <w:lang w:eastAsia="zh-CN"/>
        </w:rPr>
        <w:t>s</w:t>
      </w:r>
      <w:r w:rsidR="00EF7ED2" w:rsidRPr="00533536">
        <w:rPr>
          <w:rFonts w:ascii="Arial" w:eastAsiaTheme="minorEastAsia" w:hAnsi="Arial" w:cs="Arial"/>
          <w:b/>
          <w:bCs/>
          <w:sz w:val="22"/>
          <w:szCs w:val="22"/>
          <w:lang w:eastAsia="zh-CN"/>
        </w:rPr>
        <w:t xml:space="preserve"> </w:t>
      </w:r>
      <w:r w:rsidR="00533536" w:rsidRPr="00533536">
        <w:rPr>
          <w:rFonts w:ascii="Arial" w:eastAsiaTheme="minorEastAsia" w:hAnsi="Arial" w:cs="Arial"/>
          <w:b/>
          <w:bCs/>
          <w:sz w:val="22"/>
          <w:szCs w:val="22"/>
          <w:lang w:eastAsia="zh-CN"/>
        </w:rPr>
        <w:t>a nivel mundial</w:t>
      </w:r>
      <w:r w:rsidR="00EF7ED2">
        <w:rPr>
          <w:rFonts w:ascii="Arial" w:eastAsiaTheme="minorEastAsia" w:hAnsi="Arial" w:cs="Arial"/>
          <w:sz w:val="22"/>
          <w:szCs w:val="22"/>
          <w:lang w:eastAsia="zh-CN"/>
        </w:rPr>
        <w:t>, a los que siguen P</w:t>
      </w:r>
      <w:r>
        <w:rPr>
          <w:rFonts w:ascii="Arial" w:eastAsiaTheme="minorEastAsia" w:hAnsi="Arial" w:cs="Arial"/>
          <w:sz w:val="22"/>
          <w:szCs w:val="22"/>
          <w:lang w:eastAsia="zh-CN"/>
        </w:rPr>
        <w:t>erú</w:t>
      </w:r>
      <w:r w:rsidR="00EF7ED2">
        <w:rPr>
          <w:rFonts w:ascii="Arial" w:eastAsiaTheme="minorEastAsia" w:hAnsi="Arial" w:cs="Arial"/>
          <w:sz w:val="22"/>
          <w:szCs w:val="22"/>
          <w:lang w:eastAsia="zh-CN"/>
        </w:rPr>
        <w:t xml:space="preserve"> (38%) y </w:t>
      </w:r>
      <w:r>
        <w:rPr>
          <w:rFonts w:ascii="Arial" w:eastAsiaTheme="minorEastAsia" w:hAnsi="Arial" w:cs="Arial"/>
          <w:sz w:val="22"/>
          <w:szCs w:val="22"/>
          <w:lang w:eastAsia="zh-CN"/>
        </w:rPr>
        <w:t xml:space="preserve">Australia </w:t>
      </w:r>
      <w:r w:rsidR="00EF7ED2">
        <w:rPr>
          <w:rFonts w:ascii="Arial" w:eastAsiaTheme="minorEastAsia" w:hAnsi="Arial" w:cs="Arial"/>
          <w:sz w:val="22"/>
          <w:szCs w:val="22"/>
          <w:lang w:eastAsia="zh-CN"/>
        </w:rPr>
        <w:t>(</w:t>
      </w:r>
      <w:r>
        <w:rPr>
          <w:rFonts w:ascii="Arial" w:eastAsiaTheme="minorEastAsia" w:hAnsi="Arial" w:cs="Arial"/>
          <w:sz w:val="22"/>
          <w:szCs w:val="22"/>
          <w:lang w:eastAsia="zh-CN"/>
        </w:rPr>
        <w:t>37</w:t>
      </w:r>
      <w:r w:rsidR="00EF7ED2">
        <w:rPr>
          <w:rFonts w:ascii="Arial" w:eastAsiaTheme="minorEastAsia" w:hAnsi="Arial" w:cs="Arial"/>
          <w:sz w:val="22"/>
          <w:szCs w:val="22"/>
          <w:lang w:eastAsia="zh-CN"/>
        </w:rPr>
        <w:t xml:space="preserve">%). </w:t>
      </w:r>
    </w:p>
    <w:p w14:paraId="7588BAF7" w14:textId="77777777" w:rsidR="00533536" w:rsidRDefault="00533536" w:rsidP="00D27B5C">
      <w:pPr>
        <w:spacing w:line="276" w:lineRule="auto"/>
        <w:jc w:val="both"/>
        <w:rPr>
          <w:rFonts w:ascii="Arial" w:eastAsiaTheme="minorEastAsia" w:hAnsi="Arial" w:cs="Arial"/>
          <w:sz w:val="22"/>
          <w:szCs w:val="22"/>
          <w:lang w:eastAsia="zh-CN"/>
        </w:rPr>
      </w:pPr>
    </w:p>
    <w:p w14:paraId="04DA2AAA" w14:textId="40A35E73" w:rsidR="00687087" w:rsidRPr="001740C7" w:rsidRDefault="00687087" w:rsidP="00EA7C7E">
      <w:pPr>
        <w:tabs>
          <w:tab w:val="right" w:pos="8838"/>
        </w:tabs>
        <w:autoSpaceDE w:val="0"/>
        <w:autoSpaceDN w:val="0"/>
        <w:adjustRightInd w:val="0"/>
        <w:jc w:val="both"/>
        <w:rPr>
          <w:rFonts w:ascii="Arial" w:hAnsi="Arial" w:cs="Arial"/>
          <w:sz w:val="16"/>
          <w:szCs w:val="16"/>
        </w:rPr>
      </w:pPr>
      <w:bookmarkStart w:id="7" w:name="_Hlk90222956"/>
      <w:bookmarkStart w:id="8" w:name="_Hlk90207554"/>
      <w:bookmarkEnd w:id="2"/>
      <w:bookmarkEnd w:id="3"/>
      <w:bookmarkEnd w:id="4"/>
    </w:p>
    <w:p w14:paraId="566B3F70" w14:textId="1464D07F" w:rsidR="00687087" w:rsidRPr="001740C7" w:rsidRDefault="00687087" w:rsidP="00EA7C7E">
      <w:pPr>
        <w:tabs>
          <w:tab w:val="right" w:pos="8838"/>
        </w:tabs>
        <w:autoSpaceDE w:val="0"/>
        <w:autoSpaceDN w:val="0"/>
        <w:adjustRightInd w:val="0"/>
        <w:jc w:val="both"/>
        <w:rPr>
          <w:rFonts w:ascii="Arial" w:hAnsi="Arial" w:cs="Arial"/>
          <w:sz w:val="16"/>
          <w:szCs w:val="16"/>
        </w:rPr>
      </w:pPr>
    </w:p>
    <w:p w14:paraId="57C9640A" w14:textId="77777777" w:rsidR="001740C7" w:rsidRPr="008F4C4F" w:rsidRDefault="001740C7" w:rsidP="001740C7">
      <w:pPr>
        <w:jc w:val="both"/>
        <w:rPr>
          <w:rFonts w:ascii="Arial" w:hAnsi="Arial" w:cs="Arial"/>
          <w:sz w:val="16"/>
          <w:szCs w:val="16"/>
        </w:rPr>
      </w:pPr>
      <w:r w:rsidRPr="008F4C4F">
        <w:rPr>
          <w:rFonts w:ascii="Arial" w:hAnsi="Arial" w:cs="Arial"/>
          <w:b/>
          <w:bCs/>
          <w:sz w:val="16"/>
          <w:szCs w:val="16"/>
        </w:rPr>
        <w:t>ManpowerGroup</w:t>
      </w:r>
      <w:r w:rsidRPr="008F4C4F">
        <w:rPr>
          <w:rFonts w:ascii="Arial" w:hAnsi="Arial" w:cs="Arial"/>
          <w:sz w:val="16"/>
          <w:szCs w:val="16"/>
        </w:rPr>
        <w:t xml:space="preserve"> es la compañía líder mundial en soluciones de talento y tecnología. Ayuda a las organizaciones a adaptarse a un mercado del empleo en constante cambio, seleccionando, evaluando, desarrollando y gestionando el talento que necesitan para lograr sus objetivos de negocio. Apoyándose en las últimas herramientas tecnológicas, crea estrategias innovadoras para cientos de miles de empresas cada año, permitiéndoles contar con los profesionales cualificados que necesitan, al mismo tiempo que ofrece un empleo digno y sostenible a millones de personas. A través de sus distintas marcas (Manpower, Experis y Talent Solutions), aporta valor a candidatos y clientes en más de 75 países, como lleva haciendo durante más de 70 años. Además, sus políticas de diversidad, inclusión e igualdad y sus buenas prácticas de negocio son reconocidas por multitud de organizaciones.</w:t>
      </w:r>
    </w:p>
    <w:p w14:paraId="640FB4AA" w14:textId="77777777" w:rsidR="001740C7" w:rsidRPr="008F4C4F" w:rsidRDefault="001740C7" w:rsidP="001740C7">
      <w:pPr>
        <w:jc w:val="both"/>
        <w:rPr>
          <w:rFonts w:ascii="Arial" w:hAnsi="Arial" w:cs="Arial"/>
          <w:sz w:val="16"/>
          <w:szCs w:val="16"/>
        </w:rPr>
      </w:pPr>
      <w:r w:rsidRPr="008F4C4F">
        <w:rPr>
          <w:rFonts w:ascii="Arial" w:hAnsi="Arial" w:cs="Arial"/>
          <w:sz w:val="16"/>
          <w:szCs w:val="16"/>
        </w:rPr>
        <w:t xml:space="preserve">Más información en </w:t>
      </w:r>
      <w:hyperlink r:id="rId9" w:history="1">
        <w:r w:rsidRPr="008F4C4F">
          <w:rPr>
            <w:rStyle w:val="Hipervnculo"/>
            <w:rFonts w:ascii="Arial" w:hAnsi="Arial" w:cs="Arial"/>
            <w:sz w:val="16"/>
            <w:szCs w:val="16"/>
          </w:rPr>
          <w:t>www.manpowergroup.es</w:t>
        </w:r>
      </w:hyperlink>
      <w:r w:rsidRPr="008F4C4F">
        <w:rPr>
          <w:rFonts w:ascii="Arial" w:hAnsi="Arial" w:cs="Arial"/>
          <w:sz w:val="16"/>
          <w:szCs w:val="16"/>
        </w:rPr>
        <w:t>.</w:t>
      </w:r>
    </w:p>
    <w:p w14:paraId="1E4D3399" w14:textId="77777777" w:rsidR="00EF7ED2" w:rsidRPr="001740C7" w:rsidRDefault="00EF7ED2" w:rsidP="00EA7C7E">
      <w:pPr>
        <w:tabs>
          <w:tab w:val="right" w:pos="8838"/>
        </w:tabs>
        <w:autoSpaceDE w:val="0"/>
        <w:autoSpaceDN w:val="0"/>
        <w:adjustRightInd w:val="0"/>
        <w:jc w:val="both"/>
        <w:rPr>
          <w:rFonts w:ascii="Arial" w:hAnsi="Arial" w:cs="Arial"/>
          <w:sz w:val="16"/>
          <w:szCs w:val="16"/>
        </w:rPr>
      </w:pPr>
    </w:p>
    <w:p w14:paraId="19A01CCD" w14:textId="77777777" w:rsidR="00EF7ED2" w:rsidRPr="001740C7" w:rsidRDefault="00EF7ED2" w:rsidP="00EA7C7E">
      <w:pPr>
        <w:tabs>
          <w:tab w:val="right" w:pos="8838"/>
        </w:tabs>
        <w:autoSpaceDE w:val="0"/>
        <w:autoSpaceDN w:val="0"/>
        <w:adjustRightInd w:val="0"/>
        <w:jc w:val="both"/>
        <w:rPr>
          <w:rFonts w:ascii="Arial" w:hAnsi="Arial" w:cs="Arial"/>
          <w:sz w:val="16"/>
          <w:szCs w:val="16"/>
        </w:rPr>
      </w:pPr>
    </w:p>
    <w:p w14:paraId="388A29FF" w14:textId="77777777" w:rsidR="001A2A76" w:rsidRPr="00687087" w:rsidRDefault="001A2A76" w:rsidP="00EA7C7E">
      <w:pPr>
        <w:tabs>
          <w:tab w:val="right" w:pos="8838"/>
        </w:tabs>
        <w:autoSpaceDE w:val="0"/>
        <w:autoSpaceDN w:val="0"/>
        <w:adjustRightInd w:val="0"/>
        <w:jc w:val="both"/>
        <w:rPr>
          <w:rFonts w:ascii="Arial" w:hAnsi="Arial" w:cs="Arial"/>
          <w:b/>
          <w:bCs/>
          <w:sz w:val="16"/>
          <w:szCs w:val="16"/>
        </w:rPr>
      </w:pPr>
      <w:r w:rsidRPr="00687087">
        <w:rPr>
          <w:rFonts w:ascii="Arial" w:hAnsi="Arial" w:cs="Arial"/>
          <w:b/>
          <w:bCs/>
          <w:sz w:val="16"/>
          <w:szCs w:val="16"/>
        </w:rPr>
        <w:t>Para más información:</w:t>
      </w:r>
    </w:p>
    <w:tbl>
      <w:tblPr>
        <w:tblW w:w="8948" w:type="dxa"/>
        <w:tblLayout w:type="fixed"/>
        <w:tblLook w:val="04A0" w:firstRow="1" w:lastRow="0" w:firstColumn="1" w:lastColumn="0" w:noHBand="0" w:noVBand="1"/>
      </w:tblPr>
      <w:tblGrid>
        <w:gridCol w:w="2943"/>
        <w:gridCol w:w="2977"/>
        <w:gridCol w:w="3028"/>
      </w:tblGrid>
      <w:tr w:rsidR="001A2A76" w:rsidRPr="00687087" w14:paraId="0018B07B" w14:textId="77777777" w:rsidTr="00D8716B">
        <w:trPr>
          <w:trHeight w:val="1159"/>
        </w:trPr>
        <w:tc>
          <w:tcPr>
            <w:tcW w:w="2943" w:type="dxa"/>
            <w:hideMark/>
          </w:tcPr>
          <w:p w14:paraId="3F699B6F" w14:textId="77777777" w:rsidR="003509A5" w:rsidRPr="00687087" w:rsidRDefault="003509A5" w:rsidP="00EA7C7E">
            <w:pPr>
              <w:jc w:val="both"/>
              <w:outlineLvl w:val="0"/>
              <w:rPr>
                <w:rFonts w:ascii="Arial" w:hAnsi="Arial" w:cs="Arial"/>
                <w:b/>
                <w:sz w:val="16"/>
                <w:szCs w:val="16"/>
              </w:rPr>
            </w:pPr>
            <w:bookmarkStart w:id="9" w:name="_Hlk90207537"/>
          </w:p>
          <w:p w14:paraId="2779EAD6" w14:textId="0DACF617" w:rsidR="001A2A76" w:rsidRPr="00687087" w:rsidRDefault="001A2A76" w:rsidP="00EA7C7E">
            <w:pPr>
              <w:jc w:val="both"/>
              <w:outlineLvl w:val="0"/>
              <w:rPr>
                <w:rFonts w:ascii="Arial" w:hAnsi="Arial" w:cs="Arial"/>
                <w:b/>
                <w:sz w:val="16"/>
                <w:szCs w:val="16"/>
              </w:rPr>
            </w:pPr>
            <w:r w:rsidRPr="00687087">
              <w:rPr>
                <w:rFonts w:ascii="Arial" w:hAnsi="Arial" w:cs="Arial"/>
                <w:b/>
                <w:sz w:val="16"/>
                <w:szCs w:val="16"/>
              </w:rPr>
              <w:t>ManpowerGroup</w:t>
            </w:r>
          </w:p>
          <w:p w14:paraId="0B32ED5C" w14:textId="77777777" w:rsidR="001A2A76" w:rsidRPr="00687087" w:rsidRDefault="001A2A76" w:rsidP="00EA7C7E">
            <w:pPr>
              <w:jc w:val="both"/>
              <w:outlineLvl w:val="0"/>
              <w:rPr>
                <w:rFonts w:ascii="Arial" w:hAnsi="Arial" w:cs="Arial"/>
                <w:sz w:val="16"/>
                <w:szCs w:val="16"/>
              </w:rPr>
            </w:pPr>
            <w:r w:rsidRPr="00687087">
              <w:rPr>
                <w:rFonts w:ascii="Arial" w:hAnsi="Arial" w:cs="Arial"/>
                <w:sz w:val="16"/>
                <w:szCs w:val="16"/>
              </w:rPr>
              <w:t>Dpto. Comunicación</w:t>
            </w:r>
          </w:p>
          <w:p w14:paraId="3BC89F30" w14:textId="77777777" w:rsidR="001A2A76" w:rsidRPr="00687087" w:rsidRDefault="001A2A76" w:rsidP="00EA7C7E">
            <w:pPr>
              <w:jc w:val="both"/>
              <w:rPr>
                <w:rFonts w:ascii="Arial" w:hAnsi="Arial" w:cs="Arial"/>
                <w:sz w:val="16"/>
                <w:szCs w:val="16"/>
              </w:rPr>
            </w:pPr>
            <w:r w:rsidRPr="00687087">
              <w:rPr>
                <w:rFonts w:ascii="Arial" w:hAnsi="Arial" w:cs="Arial"/>
                <w:sz w:val="16"/>
                <w:szCs w:val="16"/>
              </w:rPr>
              <w:t>Juan Gómez Rodríguez</w:t>
            </w:r>
          </w:p>
          <w:p w14:paraId="1A8FDA31" w14:textId="77777777" w:rsidR="001A2A76" w:rsidRPr="00687087" w:rsidRDefault="001A2A76" w:rsidP="00EA7C7E">
            <w:pPr>
              <w:jc w:val="both"/>
              <w:rPr>
                <w:rFonts w:ascii="Arial" w:hAnsi="Arial" w:cs="Arial"/>
                <w:sz w:val="16"/>
                <w:szCs w:val="16"/>
              </w:rPr>
            </w:pPr>
            <w:r w:rsidRPr="00687087">
              <w:rPr>
                <w:rFonts w:ascii="Arial" w:hAnsi="Arial" w:cs="Arial"/>
                <w:sz w:val="16"/>
                <w:szCs w:val="16"/>
              </w:rPr>
              <w:t>Tel. 687 51 96 90</w:t>
            </w:r>
          </w:p>
          <w:p w14:paraId="1BB256E8" w14:textId="77777777" w:rsidR="001A2A76" w:rsidRPr="00687087" w:rsidRDefault="008D39F2" w:rsidP="00EA7C7E">
            <w:pPr>
              <w:jc w:val="both"/>
              <w:rPr>
                <w:rFonts w:ascii="Arial" w:hAnsi="Arial" w:cs="Arial"/>
                <w:sz w:val="16"/>
                <w:szCs w:val="16"/>
              </w:rPr>
            </w:pPr>
            <w:hyperlink r:id="rId10" w:history="1">
              <w:r w:rsidR="001A2A76" w:rsidRPr="00687087">
                <w:rPr>
                  <w:rStyle w:val="Hipervnculo"/>
                  <w:rFonts w:ascii="Arial" w:hAnsi="Arial" w:cs="Arial"/>
                  <w:sz w:val="16"/>
                  <w:szCs w:val="16"/>
                </w:rPr>
                <w:t>juan.gomez@manpowergroup.es</w:t>
              </w:r>
            </w:hyperlink>
          </w:p>
          <w:p w14:paraId="42BF9EDC" w14:textId="635594A5" w:rsidR="001A2A76" w:rsidRPr="00687087" w:rsidRDefault="001A2A76" w:rsidP="00EA7C7E">
            <w:pPr>
              <w:pStyle w:val="NormalWeb"/>
              <w:spacing w:before="0" w:beforeAutospacing="0" w:after="0" w:afterAutospacing="0"/>
              <w:ind w:left="34" w:hanging="34"/>
              <w:jc w:val="both"/>
              <w:rPr>
                <w:rFonts w:ascii="Arial" w:hAnsi="Arial" w:cs="Arial"/>
                <w:b/>
                <w:sz w:val="16"/>
                <w:szCs w:val="16"/>
                <w:lang w:val="ca-ES"/>
              </w:rPr>
            </w:pPr>
          </w:p>
        </w:tc>
        <w:tc>
          <w:tcPr>
            <w:tcW w:w="2977" w:type="dxa"/>
          </w:tcPr>
          <w:p w14:paraId="4C3E35BD" w14:textId="77777777" w:rsidR="001A2A76" w:rsidRPr="00687087" w:rsidRDefault="001A2A76" w:rsidP="00EA7C7E">
            <w:pPr>
              <w:jc w:val="both"/>
              <w:rPr>
                <w:rFonts w:ascii="Arial" w:hAnsi="Arial" w:cs="Arial"/>
                <w:sz w:val="16"/>
                <w:szCs w:val="16"/>
                <w:lang w:val="ca-ES"/>
              </w:rPr>
            </w:pPr>
          </w:p>
        </w:tc>
        <w:tc>
          <w:tcPr>
            <w:tcW w:w="3028" w:type="dxa"/>
          </w:tcPr>
          <w:p w14:paraId="6AA9BA0E" w14:textId="7F997798" w:rsidR="001A2A76" w:rsidRPr="00687087" w:rsidRDefault="003509A5" w:rsidP="00336187">
            <w:pPr>
              <w:pStyle w:val="NormalWeb"/>
              <w:spacing w:before="0" w:beforeAutospacing="0" w:after="240" w:afterAutospacing="0"/>
              <w:jc w:val="both"/>
              <w:rPr>
                <w:rStyle w:val="Hipervnculo"/>
                <w:rFonts w:ascii="Arial" w:hAnsi="Arial" w:cs="Arial"/>
                <w:color w:val="auto"/>
                <w:u w:val="none"/>
              </w:rPr>
            </w:pPr>
            <w:r w:rsidRPr="00687087">
              <w:rPr>
                <w:rFonts w:ascii="Arial" w:hAnsi="Arial" w:cs="Arial"/>
                <w:color w:val="000000"/>
                <w:sz w:val="16"/>
                <w:szCs w:val="16"/>
                <w:u w:val="single"/>
              </w:rPr>
              <w:t>Agencia de comunicación Indie PR</w:t>
            </w:r>
          </w:p>
          <w:p w14:paraId="7C09B9DE" w14:textId="77777777" w:rsidR="003509A5" w:rsidRPr="00687087" w:rsidRDefault="003509A5" w:rsidP="00336187">
            <w:pPr>
              <w:pStyle w:val="NormalWeb"/>
              <w:spacing w:before="0" w:beforeAutospacing="0" w:after="0" w:afterAutospacing="0"/>
              <w:jc w:val="both"/>
              <w:rPr>
                <w:rFonts w:ascii="Arial" w:hAnsi="Arial" w:cs="Arial"/>
              </w:rPr>
            </w:pPr>
            <w:r w:rsidRPr="00687087">
              <w:rPr>
                <w:rFonts w:ascii="Arial" w:hAnsi="Arial" w:cs="Arial"/>
                <w:b/>
                <w:bCs/>
                <w:color w:val="000000"/>
                <w:sz w:val="16"/>
                <w:szCs w:val="16"/>
              </w:rPr>
              <w:t>Isabel Gata</w:t>
            </w:r>
          </w:p>
          <w:p w14:paraId="1C2C7475" w14:textId="77777777" w:rsidR="003509A5" w:rsidRPr="00687087" w:rsidRDefault="003509A5" w:rsidP="003509A5">
            <w:pPr>
              <w:pStyle w:val="NormalWeb"/>
              <w:spacing w:before="0" w:beforeAutospacing="0" w:after="0" w:afterAutospacing="0"/>
              <w:jc w:val="both"/>
              <w:rPr>
                <w:rFonts w:ascii="Arial" w:hAnsi="Arial" w:cs="Arial"/>
              </w:rPr>
            </w:pPr>
            <w:r w:rsidRPr="00687087">
              <w:rPr>
                <w:rFonts w:ascii="Arial" w:hAnsi="Arial" w:cs="Arial"/>
                <w:color w:val="000000"/>
                <w:sz w:val="16"/>
                <w:szCs w:val="16"/>
              </w:rPr>
              <w:t>Tel.: 630 701 069</w:t>
            </w:r>
          </w:p>
          <w:p w14:paraId="707C7B40" w14:textId="77777777" w:rsidR="003509A5" w:rsidRDefault="008D39F2" w:rsidP="003509A5">
            <w:pPr>
              <w:pStyle w:val="NormalWeb"/>
              <w:spacing w:before="0" w:beforeAutospacing="0" w:after="0" w:afterAutospacing="0"/>
              <w:jc w:val="both"/>
              <w:rPr>
                <w:rStyle w:val="Hipervnculo"/>
                <w:rFonts w:ascii="Arial" w:hAnsi="Arial" w:cs="Arial"/>
                <w:color w:val="1155CC"/>
                <w:sz w:val="16"/>
                <w:szCs w:val="16"/>
              </w:rPr>
            </w:pPr>
            <w:hyperlink r:id="rId11" w:history="1">
              <w:r w:rsidR="003509A5" w:rsidRPr="00687087">
                <w:rPr>
                  <w:rStyle w:val="Hipervnculo"/>
                  <w:rFonts w:ascii="Arial" w:hAnsi="Arial" w:cs="Arial"/>
                  <w:color w:val="1155CC"/>
                  <w:sz w:val="16"/>
                  <w:szCs w:val="16"/>
                </w:rPr>
                <w:t>isabel@indiepr.es</w:t>
              </w:r>
            </w:hyperlink>
          </w:p>
          <w:p w14:paraId="1F0ADA15" w14:textId="77777777" w:rsidR="00336187" w:rsidRPr="00687087" w:rsidRDefault="00336187" w:rsidP="003509A5">
            <w:pPr>
              <w:pStyle w:val="NormalWeb"/>
              <w:spacing w:before="0" w:beforeAutospacing="0" w:after="0" w:afterAutospacing="0"/>
              <w:jc w:val="both"/>
              <w:rPr>
                <w:rFonts w:ascii="Arial" w:hAnsi="Arial" w:cs="Arial"/>
              </w:rPr>
            </w:pPr>
          </w:p>
          <w:p w14:paraId="49BBC84D" w14:textId="23DBE9B1" w:rsidR="003509A5" w:rsidRPr="00687087" w:rsidRDefault="00EF7ED2" w:rsidP="003509A5">
            <w:pPr>
              <w:pStyle w:val="NormalWeb"/>
              <w:spacing w:before="0" w:beforeAutospacing="0" w:after="0" w:afterAutospacing="0"/>
              <w:jc w:val="both"/>
              <w:rPr>
                <w:rFonts w:ascii="Arial" w:hAnsi="Arial" w:cs="Arial"/>
              </w:rPr>
            </w:pPr>
            <w:r>
              <w:rPr>
                <w:rFonts w:ascii="Arial" w:hAnsi="Arial" w:cs="Arial"/>
                <w:b/>
                <w:bCs/>
                <w:color w:val="000000"/>
                <w:sz w:val="16"/>
                <w:szCs w:val="16"/>
              </w:rPr>
              <w:t xml:space="preserve">Cristina Villanueva </w:t>
            </w:r>
          </w:p>
          <w:p w14:paraId="43FFFD20" w14:textId="63E76B81" w:rsidR="003509A5" w:rsidRPr="00687087" w:rsidRDefault="003509A5" w:rsidP="003509A5">
            <w:pPr>
              <w:pStyle w:val="NormalWeb"/>
              <w:spacing w:before="0" w:beforeAutospacing="0" w:after="0" w:afterAutospacing="0"/>
              <w:jc w:val="both"/>
              <w:rPr>
                <w:rFonts w:ascii="Arial" w:hAnsi="Arial" w:cs="Arial"/>
              </w:rPr>
            </w:pPr>
            <w:r w:rsidRPr="00687087">
              <w:rPr>
                <w:rFonts w:ascii="Arial" w:hAnsi="Arial" w:cs="Arial"/>
                <w:color w:val="000000"/>
                <w:sz w:val="16"/>
                <w:szCs w:val="16"/>
              </w:rPr>
              <w:t xml:space="preserve">Tel.: </w:t>
            </w:r>
            <w:r w:rsidR="00894DEA" w:rsidRPr="00894DEA">
              <w:rPr>
                <w:rFonts w:ascii="Arial" w:hAnsi="Arial" w:cs="Arial"/>
                <w:color w:val="000000"/>
                <w:sz w:val="16"/>
                <w:szCs w:val="16"/>
              </w:rPr>
              <w:t>687 14 73 60</w:t>
            </w:r>
          </w:p>
          <w:p w14:paraId="4E9E9595" w14:textId="3F0DE0E3" w:rsidR="003509A5" w:rsidRPr="00336187" w:rsidRDefault="008D39F2" w:rsidP="003509A5">
            <w:pPr>
              <w:pStyle w:val="NormalWeb"/>
              <w:spacing w:before="0" w:beforeAutospacing="0" w:after="0" w:afterAutospacing="0"/>
              <w:jc w:val="both"/>
              <w:rPr>
                <w:rStyle w:val="Hipervnculo"/>
                <w:rFonts w:cs="Arial"/>
                <w:color w:val="1155CC"/>
                <w:sz w:val="16"/>
                <w:szCs w:val="16"/>
              </w:rPr>
            </w:pPr>
            <w:hyperlink r:id="rId12" w:history="1">
              <w:r w:rsidR="00894DEA" w:rsidRPr="00336187">
                <w:rPr>
                  <w:rStyle w:val="Hipervnculo"/>
                  <w:rFonts w:ascii="Arial" w:hAnsi="Arial" w:cs="Arial"/>
                  <w:color w:val="1155CC"/>
                  <w:sz w:val="16"/>
                  <w:szCs w:val="16"/>
                </w:rPr>
                <w:t>cristina@indiepr.es</w:t>
              </w:r>
            </w:hyperlink>
          </w:p>
          <w:p w14:paraId="5C6710CD" w14:textId="77777777" w:rsidR="003509A5" w:rsidRPr="00687087" w:rsidRDefault="003509A5" w:rsidP="00EA7C7E">
            <w:pPr>
              <w:pStyle w:val="NormalWeb"/>
              <w:spacing w:before="0" w:beforeAutospacing="0" w:after="0" w:afterAutospacing="0"/>
              <w:ind w:left="34" w:hanging="34"/>
              <w:jc w:val="both"/>
              <w:rPr>
                <w:rFonts w:ascii="Arial" w:hAnsi="Arial" w:cs="Arial"/>
                <w:sz w:val="16"/>
                <w:szCs w:val="16"/>
                <w:lang w:val="en-US"/>
              </w:rPr>
            </w:pPr>
          </w:p>
          <w:p w14:paraId="0C53A61F" w14:textId="77777777" w:rsidR="001A2A76" w:rsidRPr="00687087" w:rsidRDefault="001A2A76" w:rsidP="00EA7C7E">
            <w:pPr>
              <w:ind w:left="142" w:right="-976"/>
              <w:jc w:val="both"/>
              <w:rPr>
                <w:rFonts w:ascii="Arial" w:hAnsi="Arial" w:cs="Arial"/>
                <w:sz w:val="16"/>
                <w:szCs w:val="16"/>
                <w:lang w:val="ca-ES"/>
              </w:rPr>
            </w:pPr>
          </w:p>
        </w:tc>
      </w:tr>
      <w:bookmarkEnd w:id="7"/>
      <w:bookmarkEnd w:id="8"/>
      <w:bookmarkEnd w:id="9"/>
    </w:tbl>
    <w:p w14:paraId="0F55B214" w14:textId="77777777" w:rsidR="008E54AD" w:rsidRPr="00687087" w:rsidRDefault="008E54AD" w:rsidP="000068C6">
      <w:pPr>
        <w:tabs>
          <w:tab w:val="right" w:pos="8838"/>
        </w:tabs>
        <w:autoSpaceDE w:val="0"/>
        <w:autoSpaceDN w:val="0"/>
        <w:adjustRightInd w:val="0"/>
        <w:jc w:val="both"/>
        <w:rPr>
          <w:rFonts w:ascii="Arial" w:hAnsi="Arial" w:cs="Arial"/>
          <w:b/>
          <w:bCs/>
          <w:sz w:val="16"/>
          <w:szCs w:val="16"/>
          <w:lang w:val="en-US"/>
        </w:rPr>
      </w:pPr>
    </w:p>
    <w:sectPr w:rsidR="008E54AD" w:rsidRPr="00687087" w:rsidSect="00882FCB">
      <w:headerReference w:type="default" r:id="rId13"/>
      <w:footerReference w:type="even" r:id="rId14"/>
      <w:footerReference w:type="default" r:id="rId15"/>
      <w:pgSz w:w="11907" w:h="16840" w:code="9"/>
      <w:pgMar w:top="1985" w:right="1418" w:bottom="1701" w:left="1418" w:header="720" w:footer="4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EC339" w14:textId="77777777" w:rsidR="007E3CDF" w:rsidRDefault="007E3CDF">
      <w:r>
        <w:separator/>
      </w:r>
    </w:p>
  </w:endnote>
  <w:endnote w:type="continuationSeparator" w:id="0">
    <w:p w14:paraId="3FD60267" w14:textId="77777777" w:rsidR="007E3CDF" w:rsidRDefault="007E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2012" w14:textId="77777777" w:rsidR="00C90D98" w:rsidRDefault="00346E05" w:rsidP="00F01B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552DA8" w14:textId="77777777" w:rsidR="00C90D98" w:rsidRDefault="008D39F2" w:rsidP="003E26F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0A2D" w14:textId="77777777" w:rsidR="002815E4" w:rsidRDefault="008D39F2" w:rsidP="006479E0">
    <w:pPr>
      <w:pStyle w:val="Piedepgina"/>
      <w:ind w:right="360"/>
    </w:pPr>
  </w:p>
  <w:p w14:paraId="23873518" w14:textId="77777777" w:rsidR="00C90D98" w:rsidRDefault="00346E05" w:rsidP="002815E4">
    <w:pPr>
      <w:pStyle w:val="Piedepgina"/>
      <w:ind w:right="360"/>
      <w:jc w:val="center"/>
    </w:pPr>
    <w:r w:rsidRPr="00F31039">
      <w:rPr>
        <w:rFonts w:ascii="Arial" w:hAnsi="Arial" w:cs="Arial"/>
        <w:noProof/>
        <w:color w:val="444444"/>
        <w:sz w:val="23"/>
        <w:szCs w:val="23"/>
      </w:rPr>
      <w:drawing>
        <wp:inline distT="0" distB="0" distL="0" distR="0" wp14:anchorId="256AEACC" wp14:editId="11BE4DCF">
          <wp:extent cx="5410200" cy="685800"/>
          <wp:effectExtent l="0" t="0" r="0" b="0"/>
          <wp:docPr id="2" name="Imagen 34" descr="200416 pie_email_reconocimientos_600_CAST-2020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200416 pie_email_reconocimientos_600_CAST-2020_psd"/>
                  <pic:cNvPicPr>
                    <a:picLocks noChangeAspect="1" noChangeArrowheads="1"/>
                  </pic:cNvPicPr>
                </pic:nvPicPr>
                <pic:blipFill>
                  <a:blip r:embed="rId1">
                    <a:extLst>
                      <a:ext uri="{28A0092B-C50C-407E-A947-70E740481C1C}">
                        <a14:useLocalDpi xmlns:a14="http://schemas.microsoft.com/office/drawing/2010/main" val="0"/>
                      </a:ext>
                    </a:extLst>
                  </a:blip>
                  <a:srcRect r="-204" b="71667"/>
                  <a:stretch>
                    <a:fillRect/>
                  </a:stretch>
                </pic:blipFill>
                <pic:spPr bwMode="auto">
                  <a:xfrm>
                    <a:off x="0" y="0"/>
                    <a:ext cx="5410200"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5B323" w14:textId="77777777" w:rsidR="007E3CDF" w:rsidRDefault="007E3CDF">
      <w:r>
        <w:separator/>
      </w:r>
    </w:p>
  </w:footnote>
  <w:footnote w:type="continuationSeparator" w:id="0">
    <w:p w14:paraId="54200417" w14:textId="77777777" w:rsidR="007E3CDF" w:rsidRDefault="007E3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2965" w14:textId="1EC216EA" w:rsidR="002815E4" w:rsidRDefault="00882FCB" w:rsidP="00F34829">
    <w:pPr>
      <w:pStyle w:val="Encabezado"/>
      <w:rPr>
        <w:rFonts w:ascii="Verdana" w:hAnsi="Verdana"/>
        <w:noProof/>
        <w:color w:val="616161"/>
        <w:sz w:val="14"/>
        <w:szCs w:val="14"/>
      </w:rPr>
    </w:pPr>
    <w:r>
      <w:rPr>
        <w:noProof/>
      </w:rPr>
      <w:drawing>
        <wp:anchor distT="0" distB="0" distL="114300" distR="114300" simplePos="0" relativeHeight="251659264" behindDoc="0" locked="0" layoutInCell="1" allowOverlap="1" wp14:anchorId="311DCD64" wp14:editId="172743D5">
          <wp:simplePos x="0" y="0"/>
          <wp:positionH relativeFrom="column">
            <wp:posOffset>4296410</wp:posOffset>
          </wp:positionH>
          <wp:positionV relativeFrom="paragraph">
            <wp:posOffset>-120650</wp:posOffset>
          </wp:positionV>
          <wp:extent cx="1234440" cy="666750"/>
          <wp:effectExtent l="19050" t="0" r="3810" b="0"/>
          <wp:wrapSquare wrapText="bothSides"/>
          <wp:docPr id="1" name="Imagen 1" descr="inc_standard_stack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c_standard_stacked_rgb"/>
                  <pic:cNvPicPr>
                    <a:picLocks noChangeAspect="1" noChangeArrowheads="1"/>
                  </pic:cNvPicPr>
                </pic:nvPicPr>
                <pic:blipFill>
                  <a:blip r:embed="rId1"/>
                  <a:srcRect/>
                  <a:stretch>
                    <a:fillRect/>
                  </a:stretch>
                </pic:blipFill>
                <pic:spPr bwMode="auto">
                  <a:xfrm>
                    <a:off x="0" y="0"/>
                    <a:ext cx="1234440" cy="6667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967AF"/>
    <w:multiLevelType w:val="hybridMultilevel"/>
    <w:tmpl w:val="0764FA5E"/>
    <w:lvl w:ilvl="0" w:tplc="160E84D8">
      <w:start w:val="6"/>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A673344"/>
    <w:multiLevelType w:val="hybridMultilevel"/>
    <w:tmpl w:val="D04E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B16124"/>
    <w:multiLevelType w:val="hybridMultilevel"/>
    <w:tmpl w:val="EBE2B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325BE6"/>
    <w:multiLevelType w:val="hybridMultilevel"/>
    <w:tmpl w:val="FFFFFFFF"/>
    <w:lvl w:ilvl="0" w:tplc="942CD6F0">
      <w:start w:val="1"/>
      <w:numFmt w:val="bullet"/>
      <w:lvlText w:val=""/>
      <w:lvlJc w:val="left"/>
      <w:pPr>
        <w:ind w:left="1080" w:hanging="360"/>
      </w:pPr>
      <w:rPr>
        <w:rFonts w:ascii="Symbol" w:hAnsi="Symbol" w:hint="default"/>
      </w:rPr>
    </w:lvl>
    <w:lvl w:ilvl="1" w:tplc="342247BC">
      <w:start w:val="1"/>
      <w:numFmt w:val="bullet"/>
      <w:lvlText w:val="o"/>
      <w:lvlJc w:val="left"/>
      <w:pPr>
        <w:ind w:left="1800" w:hanging="360"/>
      </w:pPr>
      <w:rPr>
        <w:rFonts w:ascii="Courier New" w:hAnsi="Courier New" w:hint="default"/>
      </w:rPr>
    </w:lvl>
    <w:lvl w:ilvl="2" w:tplc="80328BA4">
      <w:start w:val="1"/>
      <w:numFmt w:val="bullet"/>
      <w:lvlText w:val=""/>
      <w:lvlJc w:val="left"/>
      <w:pPr>
        <w:ind w:left="2520" w:hanging="360"/>
      </w:pPr>
      <w:rPr>
        <w:rFonts w:ascii="Wingdings" w:hAnsi="Wingdings" w:hint="default"/>
      </w:rPr>
    </w:lvl>
    <w:lvl w:ilvl="3" w:tplc="A2BC7A2E">
      <w:start w:val="1"/>
      <w:numFmt w:val="bullet"/>
      <w:lvlText w:val=""/>
      <w:lvlJc w:val="left"/>
      <w:pPr>
        <w:ind w:left="3240" w:hanging="360"/>
      </w:pPr>
      <w:rPr>
        <w:rFonts w:ascii="Symbol" w:hAnsi="Symbol" w:hint="default"/>
      </w:rPr>
    </w:lvl>
    <w:lvl w:ilvl="4" w:tplc="BD5CFF32">
      <w:start w:val="1"/>
      <w:numFmt w:val="bullet"/>
      <w:lvlText w:val="o"/>
      <w:lvlJc w:val="left"/>
      <w:pPr>
        <w:ind w:left="3960" w:hanging="360"/>
      </w:pPr>
      <w:rPr>
        <w:rFonts w:ascii="Courier New" w:hAnsi="Courier New" w:hint="default"/>
      </w:rPr>
    </w:lvl>
    <w:lvl w:ilvl="5" w:tplc="DF8815AA">
      <w:start w:val="1"/>
      <w:numFmt w:val="bullet"/>
      <w:lvlText w:val=""/>
      <w:lvlJc w:val="left"/>
      <w:pPr>
        <w:ind w:left="4680" w:hanging="360"/>
      </w:pPr>
      <w:rPr>
        <w:rFonts w:ascii="Wingdings" w:hAnsi="Wingdings" w:hint="default"/>
      </w:rPr>
    </w:lvl>
    <w:lvl w:ilvl="6" w:tplc="9670EC9C">
      <w:start w:val="1"/>
      <w:numFmt w:val="bullet"/>
      <w:lvlText w:val=""/>
      <w:lvlJc w:val="left"/>
      <w:pPr>
        <w:ind w:left="5400" w:hanging="360"/>
      </w:pPr>
      <w:rPr>
        <w:rFonts w:ascii="Symbol" w:hAnsi="Symbol" w:hint="default"/>
      </w:rPr>
    </w:lvl>
    <w:lvl w:ilvl="7" w:tplc="E33AC33A">
      <w:start w:val="1"/>
      <w:numFmt w:val="bullet"/>
      <w:lvlText w:val="o"/>
      <w:lvlJc w:val="left"/>
      <w:pPr>
        <w:ind w:left="6120" w:hanging="360"/>
      </w:pPr>
      <w:rPr>
        <w:rFonts w:ascii="Courier New" w:hAnsi="Courier New" w:hint="default"/>
      </w:rPr>
    </w:lvl>
    <w:lvl w:ilvl="8" w:tplc="0602FD5C">
      <w:start w:val="1"/>
      <w:numFmt w:val="bullet"/>
      <w:lvlText w:val=""/>
      <w:lvlJc w:val="left"/>
      <w:pPr>
        <w:ind w:left="6840" w:hanging="360"/>
      </w:pPr>
      <w:rPr>
        <w:rFonts w:ascii="Wingdings" w:hAnsi="Wingdings" w:hint="default"/>
      </w:rPr>
    </w:lvl>
  </w:abstractNum>
  <w:abstractNum w:abstractNumId="4" w15:restartNumberingAfterBreak="0">
    <w:nsid w:val="66C97E4C"/>
    <w:multiLevelType w:val="hybridMultilevel"/>
    <w:tmpl w:val="EDE8966A"/>
    <w:lvl w:ilvl="0" w:tplc="F4A4D594">
      <w:start w:val="1"/>
      <w:numFmt w:val="bullet"/>
      <w:lvlText w:val="•"/>
      <w:lvlJc w:val="left"/>
      <w:pPr>
        <w:tabs>
          <w:tab w:val="num" w:pos="720"/>
        </w:tabs>
        <w:ind w:left="720" w:hanging="360"/>
      </w:pPr>
      <w:rPr>
        <w:rFonts w:ascii="Arial" w:hAnsi="Arial" w:hint="default"/>
      </w:rPr>
    </w:lvl>
    <w:lvl w:ilvl="1" w:tplc="0D70D224" w:tentative="1">
      <w:start w:val="1"/>
      <w:numFmt w:val="bullet"/>
      <w:lvlText w:val="•"/>
      <w:lvlJc w:val="left"/>
      <w:pPr>
        <w:tabs>
          <w:tab w:val="num" w:pos="1440"/>
        </w:tabs>
        <w:ind w:left="1440" w:hanging="360"/>
      </w:pPr>
      <w:rPr>
        <w:rFonts w:ascii="Arial" w:hAnsi="Arial" w:hint="default"/>
      </w:rPr>
    </w:lvl>
    <w:lvl w:ilvl="2" w:tplc="6B6A35D2" w:tentative="1">
      <w:start w:val="1"/>
      <w:numFmt w:val="bullet"/>
      <w:lvlText w:val="•"/>
      <w:lvlJc w:val="left"/>
      <w:pPr>
        <w:tabs>
          <w:tab w:val="num" w:pos="2160"/>
        </w:tabs>
        <w:ind w:left="2160" w:hanging="360"/>
      </w:pPr>
      <w:rPr>
        <w:rFonts w:ascii="Arial" w:hAnsi="Arial" w:hint="default"/>
      </w:rPr>
    </w:lvl>
    <w:lvl w:ilvl="3" w:tplc="2BC0E038" w:tentative="1">
      <w:start w:val="1"/>
      <w:numFmt w:val="bullet"/>
      <w:lvlText w:val="•"/>
      <w:lvlJc w:val="left"/>
      <w:pPr>
        <w:tabs>
          <w:tab w:val="num" w:pos="2880"/>
        </w:tabs>
        <w:ind w:left="2880" w:hanging="360"/>
      </w:pPr>
      <w:rPr>
        <w:rFonts w:ascii="Arial" w:hAnsi="Arial" w:hint="default"/>
      </w:rPr>
    </w:lvl>
    <w:lvl w:ilvl="4" w:tplc="64E4E368" w:tentative="1">
      <w:start w:val="1"/>
      <w:numFmt w:val="bullet"/>
      <w:lvlText w:val="•"/>
      <w:lvlJc w:val="left"/>
      <w:pPr>
        <w:tabs>
          <w:tab w:val="num" w:pos="3600"/>
        </w:tabs>
        <w:ind w:left="3600" w:hanging="360"/>
      </w:pPr>
      <w:rPr>
        <w:rFonts w:ascii="Arial" w:hAnsi="Arial" w:hint="default"/>
      </w:rPr>
    </w:lvl>
    <w:lvl w:ilvl="5" w:tplc="901CFF92" w:tentative="1">
      <w:start w:val="1"/>
      <w:numFmt w:val="bullet"/>
      <w:lvlText w:val="•"/>
      <w:lvlJc w:val="left"/>
      <w:pPr>
        <w:tabs>
          <w:tab w:val="num" w:pos="4320"/>
        </w:tabs>
        <w:ind w:left="4320" w:hanging="360"/>
      </w:pPr>
      <w:rPr>
        <w:rFonts w:ascii="Arial" w:hAnsi="Arial" w:hint="default"/>
      </w:rPr>
    </w:lvl>
    <w:lvl w:ilvl="6" w:tplc="13F62D06" w:tentative="1">
      <w:start w:val="1"/>
      <w:numFmt w:val="bullet"/>
      <w:lvlText w:val="•"/>
      <w:lvlJc w:val="left"/>
      <w:pPr>
        <w:tabs>
          <w:tab w:val="num" w:pos="5040"/>
        </w:tabs>
        <w:ind w:left="5040" w:hanging="360"/>
      </w:pPr>
      <w:rPr>
        <w:rFonts w:ascii="Arial" w:hAnsi="Arial" w:hint="default"/>
      </w:rPr>
    </w:lvl>
    <w:lvl w:ilvl="7" w:tplc="B52E3C72" w:tentative="1">
      <w:start w:val="1"/>
      <w:numFmt w:val="bullet"/>
      <w:lvlText w:val="•"/>
      <w:lvlJc w:val="left"/>
      <w:pPr>
        <w:tabs>
          <w:tab w:val="num" w:pos="5760"/>
        </w:tabs>
        <w:ind w:left="5760" w:hanging="360"/>
      </w:pPr>
      <w:rPr>
        <w:rFonts w:ascii="Arial" w:hAnsi="Arial" w:hint="default"/>
      </w:rPr>
    </w:lvl>
    <w:lvl w:ilvl="8" w:tplc="6F9C13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B373D7B"/>
    <w:multiLevelType w:val="hybridMultilevel"/>
    <w:tmpl w:val="0136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8806777">
    <w:abstractNumId w:val="0"/>
  </w:num>
  <w:num w:numId="2" w16cid:durableId="1342783302">
    <w:abstractNumId w:val="3"/>
  </w:num>
  <w:num w:numId="3" w16cid:durableId="305208792">
    <w:abstractNumId w:val="2"/>
  </w:num>
  <w:num w:numId="4" w16cid:durableId="126244196">
    <w:abstractNumId w:val="1"/>
  </w:num>
  <w:num w:numId="5" w16cid:durableId="1245341768">
    <w:abstractNumId w:val="5"/>
  </w:num>
  <w:num w:numId="6" w16cid:durableId="5978290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76"/>
    <w:rsid w:val="00006233"/>
    <w:rsid w:val="000068C6"/>
    <w:rsid w:val="000074CA"/>
    <w:rsid w:val="000101F6"/>
    <w:rsid w:val="0001254E"/>
    <w:rsid w:val="00017815"/>
    <w:rsid w:val="000258CF"/>
    <w:rsid w:val="00042488"/>
    <w:rsid w:val="00063579"/>
    <w:rsid w:val="00066C14"/>
    <w:rsid w:val="000869A2"/>
    <w:rsid w:val="000A1973"/>
    <w:rsid w:val="000C41F9"/>
    <w:rsid w:val="000D2B5A"/>
    <w:rsid w:val="0012170F"/>
    <w:rsid w:val="00124DEA"/>
    <w:rsid w:val="001319E5"/>
    <w:rsid w:val="001324E2"/>
    <w:rsid w:val="001740C7"/>
    <w:rsid w:val="00181155"/>
    <w:rsid w:val="001A2A76"/>
    <w:rsid w:val="001B39AD"/>
    <w:rsid w:val="002059D2"/>
    <w:rsid w:val="00205D68"/>
    <w:rsid w:val="00212129"/>
    <w:rsid w:val="002246BA"/>
    <w:rsid w:val="00231877"/>
    <w:rsid w:val="002331A8"/>
    <w:rsid w:val="0024317A"/>
    <w:rsid w:val="00294475"/>
    <w:rsid w:val="002A3D92"/>
    <w:rsid w:val="002A78A1"/>
    <w:rsid w:val="002B3F52"/>
    <w:rsid w:val="002C01E7"/>
    <w:rsid w:val="002C02D9"/>
    <w:rsid w:val="002D032D"/>
    <w:rsid w:val="003019C9"/>
    <w:rsid w:val="0031490C"/>
    <w:rsid w:val="0032424C"/>
    <w:rsid w:val="00326125"/>
    <w:rsid w:val="00332D02"/>
    <w:rsid w:val="00336187"/>
    <w:rsid w:val="00337FD2"/>
    <w:rsid w:val="00344595"/>
    <w:rsid w:val="00346E05"/>
    <w:rsid w:val="003470C8"/>
    <w:rsid w:val="003509A5"/>
    <w:rsid w:val="00380B8C"/>
    <w:rsid w:val="00383F58"/>
    <w:rsid w:val="00390D3C"/>
    <w:rsid w:val="003A214F"/>
    <w:rsid w:val="003A2B29"/>
    <w:rsid w:val="003A6138"/>
    <w:rsid w:val="003D0E85"/>
    <w:rsid w:val="003D4F9E"/>
    <w:rsid w:val="00401989"/>
    <w:rsid w:val="00407AD8"/>
    <w:rsid w:val="0044035B"/>
    <w:rsid w:val="00441AA5"/>
    <w:rsid w:val="004612C2"/>
    <w:rsid w:val="004958BB"/>
    <w:rsid w:val="00497689"/>
    <w:rsid w:val="004C0F40"/>
    <w:rsid w:val="004C607E"/>
    <w:rsid w:val="004D1FAF"/>
    <w:rsid w:val="004E23C4"/>
    <w:rsid w:val="004F67EC"/>
    <w:rsid w:val="00512001"/>
    <w:rsid w:val="005201CA"/>
    <w:rsid w:val="00533536"/>
    <w:rsid w:val="00541A7B"/>
    <w:rsid w:val="00561B53"/>
    <w:rsid w:val="00576DDF"/>
    <w:rsid w:val="00577B92"/>
    <w:rsid w:val="005A7DB1"/>
    <w:rsid w:val="005A7E9C"/>
    <w:rsid w:val="005C33ED"/>
    <w:rsid w:val="005C4439"/>
    <w:rsid w:val="005D1AE9"/>
    <w:rsid w:val="005D5DC2"/>
    <w:rsid w:val="005E0E99"/>
    <w:rsid w:val="005E4173"/>
    <w:rsid w:val="005F1CEB"/>
    <w:rsid w:val="0064466A"/>
    <w:rsid w:val="006515B4"/>
    <w:rsid w:val="00652342"/>
    <w:rsid w:val="00663580"/>
    <w:rsid w:val="00687087"/>
    <w:rsid w:val="00694B11"/>
    <w:rsid w:val="006972C0"/>
    <w:rsid w:val="006B6CC7"/>
    <w:rsid w:val="00710280"/>
    <w:rsid w:val="00720F29"/>
    <w:rsid w:val="0072269E"/>
    <w:rsid w:val="007A0082"/>
    <w:rsid w:val="007A74B1"/>
    <w:rsid w:val="007B59D1"/>
    <w:rsid w:val="007B679F"/>
    <w:rsid w:val="007E3CDF"/>
    <w:rsid w:val="00801C70"/>
    <w:rsid w:val="00825CE9"/>
    <w:rsid w:val="00834898"/>
    <w:rsid w:val="00836F8E"/>
    <w:rsid w:val="00841381"/>
    <w:rsid w:val="00853C2E"/>
    <w:rsid w:val="00857C81"/>
    <w:rsid w:val="008764B5"/>
    <w:rsid w:val="00882FCB"/>
    <w:rsid w:val="00885750"/>
    <w:rsid w:val="0089190E"/>
    <w:rsid w:val="00894DEA"/>
    <w:rsid w:val="008A4224"/>
    <w:rsid w:val="008B0BEA"/>
    <w:rsid w:val="008B155B"/>
    <w:rsid w:val="008C0114"/>
    <w:rsid w:val="008C5AB0"/>
    <w:rsid w:val="008D39F2"/>
    <w:rsid w:val="008E54AD"/>
    <w:rsid w:val="008E730B"/>
    <w:rsid w:val="008F077C"/>
    <w:rsid w:val="00927308"/>
    <w:rsid w:val="00932CB7"/>
    <w:rsid w:val="00942998"/>
    <w:rsid w:val="009436E0"/>
    <w:rsid w:val="0097553E"/>
    <w:rsid w:val="00977BE7"/>
    <w:rsid w:val="00981941"/>
    <w:rsid w:val="009A0E87"/>
    <w:rsid w:val="009A1EB0"/>
    <w:rsid w:val="009A3526"/>
    <w:rsid w:val="009A6F8A"/>
    <w:rsid w:val="009C2675"/>
    <w:rsid w:val="009D3CF7"/>
    <w:rsid w:val="009E6171"/>
    <w:rsid w:val="009F01EA"/>
    <w:rsid w:val="009F7DB9"/>
    <w:rsid w:val="009F7E1C"/>
    <w:rsid w:val="00A41710"/>
    <w:rsid w:val="00A50B4D"/>
    <w:rsid w:val="00A52E71"/>
    <w:rsid w:val="00A56426"/>
    <w:rsid w:val="00A574BF"/>
    <w:rsid w:val="00A7208B"/>
    <w:rsid w:val="00AB24A2"/>
    <w:rsid w:val="00AF11D7"/>
    <w:rsid w:val="00B03429"/>
    <w:rsid w:val="00B05CD9"/>
    <w:rsid w:val="00B05D48"/>
    <w:rsid w:val="00B116AF"/>
    <w:rsid w:val="00B5158D"/>
    <w:rsid w:val="00B628EE"/>
    <w:rsid w:val="00B8069B"/>
    <w:rsid w:val="00B963D0"/>
    <w:rsid w:val="00BB1160"/>
    <w:rsid w:val="00BB39D9"/>
    <w:rsid w:val="00BC45B7"/>
    <w:rsid w:val="00BC46BE"/>
    <w:rsid w:val="00BE22AA"/>
    <w:rsid w:val="00BF2547"/>
    <w:rsid w:val="00BF5E11"/>
    <w:rsid w:val="00BF7FDF"/>
    <w:rsid w:val="00C536C9"/>
    <w:rsid w:val="00C61314"/>
    <w:rsid w:val="00C7314E"/>
    <w:rsid w:val="00C83097"/>
    <w:rsid w:val="00C91CCE"/>
    <w:rsid w:val="00C952AF"/>
    <w:rsid w:val="00CA0905"/>
    <w:rsid w:val="00CF74FF"/>
    <w:rsid w:val="00D02D48"/>
    <w:rsid w:val="00D21BC9"/>
    <w:rsid w:val="00D27B5C"/>
    <w:rsid w:val="00D3343D"/>
    <w:rsid w:val="00D3571D"/>
    <w:rsid w:val="00D36245"/>
    <w:rsid w:val="00D63AB2"/>
    <w:rsid w:val="00D64482"/>
    <w:rsid w:val="00D7641E"/>
    <w:rsid w:val="00D90EF8"/>
    <w:rsid w:val="00D92B75"/>
    <w:rsid w:val="00DB0F1B"/>
    <w:rsid w:val="00DB45BA"/>
    <w:rsid w:val="00DB5EEF"/>
    <w:rsid w:val="00DC304A"/>
    <w:rsid w:val="00DC6709"/>
    <w:rsid w:val="00DD4924"/>
    <w:rsid w:val="00DF1DDF"/>
    <w:rsid w:val="00E10601"/>
    <w:rsid w:val="00E13BED"/>
    <w:rsid w:val="00E14B59"/>
    <w:rsid w:val="00E151DB"/>
    <w:rsid w:val="00E375F1"/>
    <w:rsid w:val="00E675C5"/>
    <w:rsid w:val="00E845CF"/>
    <w:rsid w:val="00E91772"/>
    <w:rsid w:val="00EA7C7E"/>
    <w:rsid w:val="00ED4D55"/>
    <w:rsid w:val="00ED788C"/>
    <w:rsid w:val="00EF7ED2"/>
    <w:rsid w:val="00F00E57"/>
    <w:rsid w:val="00F03D39"/>
    <w:rsid w:val="00F0730E"/>
    <w:rsid w:val="00F17A4D"/>
    <w:rsid w:val="00F24D52"/>
    <w:rsid w:val="00F34988"/>
    <w:rsid w:val="00F45079"/>
    <w:rsid w:val="00F45C5A"/>
    <w:rsid w:val="00F5395E"/>
    <w:rsid w:val="00F72967"/>
    <w:rsid w:val="00F73A73"/>
    <w:rsid w:val="00F93A2E"/>
    <w:rsid w:val="00F95E09"/>
    <w:rsid w:val="00FB561C"/>
    <w:rsid w:val="00FC3937"/>
    <w:rsid w:val="00FC7D4B"/>
    <w:rsid w:val="00FF4E94"/>
    <w:rsid w:val="00FF66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8C9D"/>
  <w15:docId w15:val="{7DDD9A2E-80FF-48E5-B051-4631A5D0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A76"/>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A2A76"/>
    <w:pPr>
      <w:tabs>
        <w:tab w:val="center" w:pos="4252"/>
        <w:tab w:val="right" w:pos="8504"/>
      </w:tabs>
    </w:pPr>
  </w:style>
  <w:style w:type="character" w:customStyle="1" w:styleId="EncabezadoCar">
    <w:name w:val="Encabezado Car"/>
    <w:basedOn w:val="Fuentedeprrafopredeter"/>
    <w:link w:val="Encabezado"/>
    <w:uiPriority w:val="99"/>
    <w:rsid w:val="001A2A76"/>
    <w:rPr>
      <w:rFonts w:ascii="Times New Roman" w:eastAsia="MS Mincho" w:hAnsi="Times New Roman" w:cs="Times New Roman"/>
      <w:sz w:val="24"/>
      <w:szCs w:val="24"/>
      <w:lang w:eastAsia="es-ES"/>
    </w:rPr>
  </w:style>
  <w:style w:type="paragraph" w:styleId="Piedepgina">
    <w:name w:val="footer"/>
    <w:basedOn w:val="Normal"/>
    <w:link w:val="PiedepginaCar"/>
    <w:uiPriority w:val="99"/>
    <w:rsid w:val="001A2A76"/>
    <w:pPr>
      <w:tabs>
        <w:tab w:val="center" w:pos="4252"/>
        <w:tab w:val="right" w:pos="8504"/>
      </w:tabs>
    </w:pPr>
  </w:style>
  <w:style w:type="character" w:customStyle="1" w:styleId="PiedepginaCar">
    <w:name w:val="Pie de página Car"/>
    <w:basedOn w:val="Fuentedeprrafopredeter"/>
    <w:link w:val="Piedepgina"/>
    <w:uiPriority w:val="99"/>
    <w:rsid w:val="001A2A76"/>
    <w:rPr>
      <w:rFonts w:ascii="Times New Roman" w:eastAsia="MS Mincho" w:hAnsi="Times New Roman" w:cs="Times New Roman"/>
      <w:sz w:val="24"/>
      <w:szCs w:val="24"/>
      <w:lang w:eastAsia="es-ES"/>
    </w:rPr>
  </w:style>
  <w:style w:type="character" w:styleId="Nmerodepgina">
    <w:name w:val="page number"/>
    <w:basedOn w:val="Fuentedeprrafopredeter"/>
    <w:uiPriority w:val="99"/>
    <w:rsid w:val="001A2A76"/>
    <w:rPr>
      <w:rFonts w:cs="Times New Roman"/>
    </w:rPr>
  </w:style>
  <w:style w:type="character" w:styleId="Hipervnculo">
    <w:name w:val="Hyperlink"/>
    <w:basedOn w:val="Fuentedeprrafopredeter"/>
    <w:uiPriority w:val="99"/>
    <w:rsid w:val="001A2A76"/>
    <w:rPr>
      <w:rFonts w:cs="Times New Roman"/>
      <w:color w:val="0000FF"/>
      <w:u w:val="single"/>
    </w:rPr>
  </w:style>
  <w:style w:type="character" w:styleId="Refdecomentario">
    <w:name w:val="annotation reference"/>
    <w:basedOn w:val="Fuentedeprrafopredeter"/>
    <w:uiPriority w:val="99"/>
    <w:rsid w:val="001A2A76"/>
    <w:rPr>
      <w:rFonts w:cs="Times New Roman"/>
      <w:sz w:val="16"/>
    </w:rPr>
  </w:style>
  <w:style w:type="paragraph" w:styleId="Textocomentario">
    <w:name w:val="annotation text"/>
    <w:basedOn w:val="Normal"/>
    <w:link w:val="TextocomentarioCar"/>
    <w:uiPriority w:val="99"/>
    <w:rsid w:val="001A2A76"/>
    <w:rPr>
      <w:sz w:val="20"/>
      <w:szCs w:val="20"/>
      <w:lang w:eastAsia="ja-JP"/>
    </w:rPr>
  </w:style>
  <w:style w:type="character" w:customStyle="1" w:styleId="TextocomentarioCar">
    <w:name w:val="Texto comentario Car"/>
    <w:basedOn w:val="Fuentedeprrafopredeter"/>
    <w:link w:val="Textocomentario"/>
    <w:uiPriority w:val="99"/>
    <w:rsid w:val="001A2A76"/>
    <w:rPr>
      <w:rFonts w:ascii="Times New Roman" w:eastAsia="MS Mincho" w:hAnsi="Times New Roman" w:cs="Times New Roman"/>
      <w:sz w:val="20"/>
      <w:szCs w:val="20"/>
      <w:lang w:eastAsia="ja-JP"/>
    </w:rPr>
  </w:style>
  <w:style w:type="paragraph" w:styleId="Prrafodelista">
    <w:name w:val="List Paragraph"/>
    <w:basedOn w:val="Normal"/>
    <w:link w:val="PrrafodelistaCar"/>
    <w:uiPriority w:val="34"/>
    <w:qFormat/>
    <w:rsid w:val="001A2A76"/>
    <w:pPr>
      <w:ind w:left="720"/>
      <w:contextualSpacing/>
    </w:pPr>
  </w:style>
  <w:style w:type="paragraph" w:styleId="NormalWeb">
    <w:name w:val="Normal (Web)"/>
    <w:basedOn w:val="Normal"/>
    <w:uiPriority w:val="99"/>
    <w:unhideWhenUsed/>
    <w:rsid w:val="001A2A76"/>
    <w:pPr>
      <w:spacing w:before="100" w:beforeAutospacing="1" w:after="100" w:afterAutospacing="1"/>
    </w:pPr>
    <w:rPr>
      <w:rFonts w:eastAsia="Times New Roman"/>
    </w:rPr>
  </w:style>
  <w:style w:type="character" w:customStyle="1" w:styleId="PrrafodelistaCar">
    <w:name w:val="Párrafo de lista Car"/>
    <w:basedOn w:val="Fuentedeprrafopredeter"/>
    <w:link w:val="Prrafodelista"/>
    <w:locked/>
    <w:rsid w:val="001A2A76"/>
    <w:rPr>
      <w:rFonts w:ascii="Times New Roman" w:eastAsia="MS Mincho" w:hAnsi="Times New Roman" w:cs="Times New Roman"/>
      <w:sz w:val="24"/>
      <w:szCs w:val="24"/>
      <w:lang w:eastAsia="es-ES"/>
    </w:rPr>
  </w:style>
  <w:style w:type="character" w:customStyle="1" w:styleId="normaltextrun">
    <w:name w:val="normaltextrun"/>
    <w:basedOn w:val="Fuentedeprrafopredeter"/>
    <w:rsid w:val="00694B11"/>
  </w:style>
  <w:style w:type="character" w:styleId="nfasis">
    <w:name w:val="Emphasis"/>
    <w:basedOn w:val="Fuentedeprrafopredeter"/>
    <w:uiPriority w:val="20"/>
    <w:qFormat/>
    <w:rsid w:val="0072269E"/>
    <w:rPr>
      <w:i/>
      <w:iCs/>
    </w:rPr>
  </w:style>
  <w:style w:type="character" w:customStyle="1" w:styleId="Mencinsinresolver1">
    <w:name w:val="Mención sin resolver1"/>
    <w:basedOn w:val="Fuentedeprrafopredeter"/>
    <w:uiPriority w:val="99"/>
    <w:semiHidden/>
    <w:unhideWhenUsed/>
    <w:rsid w:val="002A3D92"/>
    <w:rPr>
      <w:color w:val="605E5C"/>
      <w:shd w:val="clear" w:color="auto" w:fill="E1DFDD"/>
    </w:rPr>
  </w:style>
  <w:style w:type="paragraph" w:styleId="Textodeglobo">
    <w:name w:val="Balloon Text"/>
    <w:basedOn w:val="Normal"/>
    <w:link w:val="TextodegloboCar"/>
    <w:uiPriority w:val="99"/>
    <w:semiHidden/>
    <w:unhideWhenUsed/>
    <w:rsid w:val="0001254E"/>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54E"/>
    <w:rPr>
      <w:rFonts w:ascii="Tahoma" w:eastAsia="MS Mincho" w:hAnsi="Tahoma" w:cs="Tahoma"/>
      <w:sz w:val="16"/>
      <w:szCs w:val="16"/>
      <w:lang w:eastAsia="es-ES"/>
    </w:rPr>
  </w:style>
  <w:style w:type="character" w:styleId="Mencinsinresolver">
    <w:name w:val="Unresolved Mention"/>
    <w:basedOn w:val="Fuentedeprrafopredeter"/>
    <w:uiPriority w:val="99"/>
    <w:semiHidden/>
    <w:unhideWhenUsed/>
    <w:rsid w:val="009A1EB0"/>
    <w:rPr>
      <w:color w:val="605E5C"/>
      <w:shd w:val="clear" w:color="auto" w:fill="E1DFDD"/>
    </w:rPr>
  </w:style>
  <w:style w:type="paragraph" w:styleId="Revisin">
    <w:name w:val="Revision"/>
    <w:hidden/>
    <w:uiPriority w:val="99"/>
    <w:semiHidden/>
    <w:rsid w:val="00F17A4D"/>
    <w:pPr>
      <w:spacing w:after="0" w:line="240" w:lineRule="auto"/>
    </w:pPr>
    <w:rPr>
      <w:rFonts w:ascii="Times New Roman" w:eastAsia="MS Mincho"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8022">
      <w:bodyDiv w:val="1"/>
      <w:marLeft w:val="0"/>
      <w:marRight w:val="0"/>
      <w:marTop w:val="0"/>
      <w:marBottom w:val="0"/>
      <w:divBdr>
        <w:top w:val="none" w:sz="0" w:space="0" w:color="auto"/>
        <w:left w:val="none" w:sz="0" w:space="0" w:color="auto"/>
        <w:bottom w:val="none" w:sz="0" w:space="0" w:color="auto"/>
        <w:right w:val="none" w:sz="0" w:space="0" w:color="auto"/>
      </w:divBdr>
    </w:div>
    <w:div w:id="358898664">
      <w:bodyDiv w:val="1"/>
      <w:marLeft w:val="0"/>
      <w:marRight w:val="0"/>
      <w:marTop w:val="0"/>
      <w:marBottom w:val="0"/>
      <w:divBdr>
        <w:top w:val="none" w:sz="0" w:space="0" w:color="auto"/>
        <w:left w:val="none" w:sz="0" w:space="0" w:color="auto"/>
        <w:bottom w:val="none" w:sz="0" w:space="0" w:color="auto"/>
        <w:right w:val="none" w:sz="0" w:space="0" w:color="auto"/>
      </w:divBdr>
    </w:div>
    <w:div w:id="418596719">
      <w:bodyDiv w:val="1"/>
      <w:marLeft w:val="0"/>
      <w:marRight w:val="0"/>
      <w:marTop w:val="0"/>
      <w:marBottom w:val="0"/>
      <w:divBdr>
        <w:top w:val="none" w:sz="0" w:space="0" w:color="auto"/>
        <w:left w:val="none" w:sz="0" w:space="0" w:color="auto"/>
        <w:bottom w:val="none" w:sz="0" w:space="0" w:color="auto"/>
        <w:right w:val="none" w:sz="0" w:space="0" w:color="auto"/>
      </w:divBdr>
    </w:div>
    <w:div w:id="482935874">
      <w:bodyDiv w:val="1"/>
      <w:marLeft w:val="0"/>
      <w:marRight w:val="0"/>
      <w:marTop w:val="0"/>
      <w:marBottom w:val="0"/>
      <w:divBdr>
        <w:top w:val="none" w:sz="0" w:space="0" w:color="auto"/>
        <w:left w:val="none" w:sz="0" w:space="0" w:color="auto"/>
        <w:bottom w:val="none" w:sz="0" w:space="0" w:color="auto"/>
        <w:right w:val="none" w:sz="0" w:space="0" w:color="auto"/>
      </w:divBdr>
    </w:div>
    <w:div w:id="694111533">
      <w:bodyDiv w:val="1"/>
      <w:marLeft w:val="0"/>
      <w:marRight w:val="0"/>
      <w:marTop w:val="0"/>
      <w:marBottom w:val="0"/>
      <w:divBdr>
        <w:top w:val="none" w:sz="0" w:space="0" w:color="auto"/>
        <w:left w:val="none" w:sz="0" w:space="0" w:color="auto"/>
        <w:bottom w:val="none" w:sz="0" w:space="0" w:color="auto"/>
        <w:right w:val="none" w:sz="0" w:space="0" w:color="auto"/>
      </w:divBdr>
    </w:div>
    <w:div w:id="804589289">
      <w:bodyDiv w:val="1"/>
      <w:marLeft w:val="0"/>
      <w:marRight w:val="0"/>
      <w:marTop w:val="0"/>
      <w:marBottom w:val="0"/>
      <w:divBdr>
        <w:top w:val="none" w:sz="0" w:space="0" w:color="auto"/>
        <w:left w:val="none" w:sz="0" w:space="0" w:color="auto"/>
        <w:bottom w:val="none" w:sz="0" w:space="0" w:color="auto"/>
        <w:right w:val="none" w:sz="0" w:space="0" w:color="auto"/>
      </w:divBdr>
    </w:div>
    <w:div w:id="921061617">
      <w:bodyDiv w:val="1"/>
      <w:marLeft w:val="0"/>
      <w:marRight w:val="0"/>
      <w:marTop w:val="0"/>
      <w:marBottom w:val="0"/>
      <w:divBdr>
        <w:top w:val="none" w:sz="0" w:space="0" w:color="auto"/>
        <w:left w:val="none" w:sz="0" w:space="0" w:color="auto"/>
        <w:bottom w:val="none" w:sz="0" w:space="0" w:color="auto"/>
        <w:right w:val="none" w:sz="0" w:space="0" w:color="auto"/>
      </w:divBdr>
    </w:div>
    <w:div w:id="925771806">
      <w:bodyDiv w:val="1"/>
      <w:marLeft w:val="0"/>
      <w:marRight w:val="0"/>
      <w:marTop w:val="0"/>
      <w:marBottom w:val="0"/>
      <w:divBdr>
        <w:top w:val="none" w:sz="0" w:space="0" w:color="auto"/>
        <w:left w:val="none" w:sz="0" w:space="0" w:color="auto"/>
        <w:bottom w:val="none" w:sz="0" w:space="0" w:color="auto"/>
        <w:right w:val="none" w:sz="0" w:space="0" w:color="auto"/>
      </w:divBdr>
    </w:div>
    <w:div w:id="982545462">
      <w:bodyDiv w:val="1"/>
      <w:marLeft w:val="0"/>
      <w:marRight w:val="0"/>
      <w:marTop w:val="0"/>
      <w:marBottom w:val="0"/>
      <w:divBdr>
        <w:top w:val="none" w:sz="0" w:space="0" w:color="auto"/>
        <w:left w:val="none" w:sz="0" w:space="0" w:color="auto"/>
        <w:bottom w:val="none" w:sz="0" w:space="0" w:color="auto"/>
        <w:right w:val="none" w:sz="0" w:space="0" w:color="auto"/>
      </w:divBdr>
    </w:div>
    <w:div w:id="1297030516">
      <w:bodyDiv w:val="1"/>
      <w:marLeft w:val="0"/>
      <w:marRight w:val="0"/>
      <w:marTop w:val="0"/>
      <w:marBottom w:val="0"/>
      <w:divBdr>
        <w:top w:val="none" w:sz="0" w:space="0" w:color="auto"/>
        <w:left w:val="none" w:sz="0" w:space="0" w:color="auto"/>
        <w:bottom w:val="none" w:sz="0" w:space="0" w:color="auto"/>
        <w:right w:val="none" w:sz="0" w:space="0" w:color="auto"/>
      </w:divBdr>
    </w:div>
    <w:div w:id="1379624675">
      <w:bodyDiv w:val="1"/>
      <w:marLeft w:val="0"/>
      <w:marRight w:val="0"/>
      <w:marTop w:val="0"/>
      <w:marBottom w:val="0"/>
      <w:divBdr>
        <w:top w:val="none" w:sz="0" w:space="0" w:color="auto"/>
        <w:left w:val="none" w:sz="0" w:space="0" w:color="auto"/>
        <w:bottom w:val="none" w:sz="0" w:space="0" w:color="auto"/>
        <w:right w:val="none" w:sz="0" w:space="0" w:color="auto"/>
      </w:divBdr>
    </w:div>
    <w:div w:id="1506747946">
      <w:bodyDiv w:val="1"/>
      <w:marLeft w:val="0"/>
      <w:marRight w:val="0"/>
      <w:marTop w:val="0"/>
      <w:marBottom w:val="0"/>
      <w:divBdr>
        <w:top w:val="none" w:sz="0" w:space="0" w:color="auto"/>
        <w:left w:val="none" w:sz="0" w:space="0" w:color="auto"/>
        <w:bottom w:val="none" w:sz="0" w:space="0" w:color="auto"/>
        <w:right w:val="none" w:sz="0" w:space="0" w:color="auto"/>
      </w:divBdr>
      <w:divsChild>
        <w:div w:id="392969413">
          <w:marLeft w:val="288"/>
          <w:marRight w:val="0"/>
          <w:marTop w:val="200"/>
          <w:marBottom w:val="100"/>
          <w:divBdr>
            <w:top w:val="none" w:sz="0" w:space="0" w:color="auto"/>
            <w:left w:val="none" w:sz="0" w:space="0" w:color="auto"/>
            <w:bottom w:val="none" w:sz="0" w:space="0" w:color="auto"/>
            <w:right w:val="none" w:sz="0" w:space="0" w:color="auto"/>
          </w:divBdr>
        </w:div>
      </w:divsChild>
    </w:div>
    <w:div w:id="1576432045">
      <w:bodyDiv w:val="1"/>
      <w:marLeft w:val="0"/>
      <w:marRight w:val="0"/>
      <w:marTop w:val="0"/>
      <w:marBottom w:val="0"/>
      <w:divBdr>
        <w:top w:val="none" w:sz="0" w:space="0" w:color="auto"/>
        <w:left w:val="none" w:sz="0" w:space="0" w:color="auto"/>
        <w:bottom w:val="none" w:sz="0" w:space="0" w:color="auto"/>
        <w:right w:val="none" w:sz="0" w:space="0" w:color="auto"/>
      </w:divBdr>
    </w:div>
    <w:div w:id="1782921545">
      <w:bodyDiv w:val="1"/>
      <w:marLeft w:val="0"/>
      <w:marRight w:val="0"/>
      <w:marTop w:val="0"/>
      <w:marBottom w:val="0"/>
      <w:divBdr>
        <w:top w:val="none" w:sz="0" w:space="0" w:color="auto"/>
        <w:left w:val="none" w:sz="0" w:space="0" w:color="auto"/>
        <w:bottom w:val="none" w:sz="0" w:space="0" w:color="auto"/>
        <w:right w:val="none" w:sz="0" w:space="0" w:color="auto"/>
      </w:divBdr>
    </w:div>
    <w:div w:id="1805155003">
      <w:bodyDiv w:val="1"/>
      <w:marLeft w:val="0"/>
      <w:marRight w:val="0"/>
      <w:marTop w:val="0"/>
      <w:marBottom w:val="0"/>
      <w:divBdr>
        <w:top w:val="none" w:sz="0" w:space="0" w:color="auto"/>
        <w:left w:val="none" w:sz="0" w:space="0" w:color="auto"/>
        <w:bottom w:val="none" w:sz="0" w:space="0" w:color="auto"/>
        <w:right w:val="none" w:sz="0" w:space="0" w:color="auto"/>
      </w:divBdr>
    </w:div>
    <w:div w:id="1837960777">
      <w:bodyDiv w:val="1"/>
      <w:marLeft w:val="0"/>
      <w:marRight w:val="0"/>
      <w:marTop w:val="0"/>
      <w:marBottom w:val="0"/>
      <w:divBdr>
        <w:top w:val="none" w:sz="0" w:space="0" w:color="auto"/>
        <w:left w:val="none" w:sz="0" w:space="0" w:color="auto"/>
        <w:bottom w:val="none" w:sz="0" w:space="0" w:color="auto"/>
        <w:right w:val="none" w:sz="0" w:space="0" w:color="auto"/>
      </w:divBdr>
    </w:div>
    <w:div w:id="2046370717">
      <w:bodyDiv w:val="1"/>
      <w:marLeft w:val="0"/>
      <w:marRight w:val="0"/>
      <w:marTop w:val="0"/>
      <w:marBottom w:val="0"/>
      <w:divBdr>
        <w:top w:val="none" w:sz="0" w:space="0" w:color="auto"/>
        <w:left w:val="none" w:sz="0" w:space="0" w:color="auto"/>
        <w:bottom w:val="none" w:sz="0" w:space="0" w:color="auto"/>
        <w:right w:val="none" w:sz="0" w:space="0" w:color="auto"/>
      </w:divBdr>
    </w:div>
    <w:div w:id="207789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ristina@indiepr.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abel@indiepr.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juan.gomez@manpowergroup.es" TargetMode="External"/><Relationship Id="rId4" Type="http://schemas.openxmlformats.org/officeDocument/2006/relationships/webSettings" Target="webSettings.xml"/><Relationship Id="rId9" Type="http://schemas.openxmlformats.org/officeDocument/2006/relationships/hyperlink" Target="http://www.manpowergroup.e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4</Pages>
  <Words>1054</Words>
  <Characters>5799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 Díaz Curiel (Content Specialist)</dc:creator>
  <cp:keywords/>
  <dc:description/>
  <cp:lastModifiedBy>user23</cp:lastModifiedBy>
  <cp:revision>7</cp:revision>
  <cp:lastPrinted>2022-12-19T17:21:00Z</cp:lastPrinted>
  <dcterms:created xsi:type="dcterms:W3CDTF">2023-06-09T11:26:00Z</dcterms:created>
  <dcterms:modified xsi:type="dcterms:W3CDTF">2023-06-13T09:46:00Z</dcterms:modified>
</cp:coreProperties>
</file>