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1CEFBB16" w:rsidR="001A2A76" w:rsidRDefault="001A2A76" w:rsidP="00090345">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9F315E">
        <w:rPr>
          <w:rFonts w:ascii="Arial" w:eastAsia="Arial" w:hAnsi="Arial" w:cs="Arial"/>
          <w:b/>
          <w:color w:val="000000"/>
          <w:sz w:val="20"/>
          <w:szCs w:val="20"/>
          <w:u w:val="single"/>
        </w:rPr>
        <w:t>abril-junio</w:t>
      </w:r>
      <w:r w:rsidRPr="00687087">
        <w:rPr>
          <w:rFonts w:ascii="Arial" w:eastAsia="Arial" w:hAnsi="Arial" w:cs="Arial"/>
          <w:b/>
          <w:color w:val="000000"/>
          <w:sz w:val="20"/>
          <w:szCs w:val="20"/>
          <w:u w:val="single"/>
        </w:rPr>
        <w:t xml:space="preserve"> 202</w:t>
      </w:r>
      <w:r w:rsidR="00F66A0E">
        <w:rPr>
          <w:rFonts w:ascii="Arial" w:eastAsia="Arial" w:hAnsi="Arial" w:cs="Arial"/>
          <w:b/>
          <w:color w:val="000000"/>
          <w:sz w:val="20"/>
          <w:szCs w:val="20"/>
          <w:u w:val="single"/>
        </w:rPr>
        <w:t>4</w:t>
      </w:r>
    </w:p>
    <w:p w14:paraId="52328C8E" w14:textId="77777777" w:rsidR="00D076F3" w:rsidRPr="00687087" w:rsidRDefault="00D076F3" w:rsidP="00090345">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B9B7597" w14:textId="00794A64" w:rsidR="00AA5C1C" w:rsidRDefault="002E4A5C" w:rsidP="00090345">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L</w:t>
      </w:r>
      <w:r w:rsidR="00A20F38">
        <w:rPr>
          <w:rFonts w:ascii="Arial" w:eastAsia="Arial" w:hAnsi="Arial" w:cs="Arial"/>
          <w:b/>
          <w:bCs/>
          <w:sz w:val="36"/>
          <w:szCs w:val="36"/>
        </w:rPr>
        <w:t xml:space="preserve">as empresas españolas </w:t>
      </w:r>
      <w:r>
        <w:rPr>
          <w:rFonts w:ascii="Arial" w:eastAsia="Arial" w:hAnsi="Arial" w:cs="Arial"/>
          <w:b/>
          <w:bCs/>
          <w:sz w:val="36"/>
          <w:szCs w:val="36"/>
        </w:rPr>
        <w:t xml:space="preserve">se mantienen optimistas </w:t>
      </w:r>
      <w:r w:rsidR="00685895">
        <w:rPr>
          <w:rFonts w:ascii="Arial" w:eastAsia="Arial" w:hAnsi="Arial" w:cs="Arial"/>
          <w:b/>
          <w:bCs/>
          <w:sz w:val="36"/>
          <w:szCs w:val="36"/>
        </w:rPr>
        <w:t xml:space="preserve">sobre </w:t>
      </w:r>
      <w:r>
        <w:rPr>
          <w:rFonts w:ascii="Arial" w:eastAsia="Arial" w:hAnsi="Arial" w:cs="Arial"/>
          <w:b/>
          <w:bCs/>
          <w:sz w:val="36"/>
          <w:szCs w:val="36"/>
        </w:rPr>
        <w:t xml:space="preserve">la generación de empleo </w:t>
      </w:r>
      <w:r w:rsidR="00A20F38">
        <w:rPr>
          <w:rFonts w:ascii="Arial" w:eastAsia="Arial" w:hAnsi="Arial" w:cs="Arial"/>
          <w:b/>
          <w:bCs/>
          <w:sz w:val="36"/>
          <w:szCs w:val="36"/>
        </w:rPr>
        <w:t>durante el segundo trimestre de 2024</w:t>
      </w:r>
      <w:r>
        <w:rPr>
          <w:rFonts w:ascii="Arial" w:eastAsia="Arial" w:hAnsi="Arial" w:cs="Arial"/>
          <w:b/>
          <w:bCs/>
          <w:sz w:val="36"/>
          <w:szCs w:val="36"/>
        </w:rPr>
        <w:t xml:space="preserve"> con unas expectativas del 14%</w:t>
      </w:r>
    </w:p>
    <w:p w14:paraId="7D1423C5" w14:textId="18FEB4BE" w:rsidR="00D076F3" w:rsidRDefault="00D076F3" w:rsidP="00D076F3">
      <w:pPr>
        <w:pStyle w:val="Prrafodelista"/>
        <w:spacing w:before="120" w:line="288" w:lineRule="auto"/>
        <w:ind w:left="360"/>
        <w:contextualSpacing w:val="0"/>
        <w:jc w:val="both"/>
        <w:rPr>
          <w:rFonts w:ascii="Arial" w:eastAsia="Arial" w:hAnsi="Arial" w:cs="Arial"/>
          <w:b/>
          <w:sz w:val="23"/>
          <w:szCs w:val="23"/>
        </w:rPr>
      </w:pPr>
      <w:bookmarkStart w:id="0" w:name="_Hlk113557077"/>
    </w:p>
    <w:p w14:paraId="6FB4F4EE" w14:textId="6299D8BC" w:rsidR="002E4A5C" w:rsidRDefault="00685895" w:rsidP="00090345">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Dicho neto del 14% responde a que e</w:t>
      </w:r>
      <w:r w:rsidR="002E4A5C" w:rsidRPr="002E4A5C">
        <w:rPr>
          <w:rFonts w:ascii="Arial" w:eastAsia="Arial" w:hAnsi="Arial" w:cs="Arial"/>
          <w:b/>
          <w:sz w:val="23"/>
          <w:szCs w:val="23"/>
        </w:rPr>
        <w:t xml:space="preserve">l 35% de las compañías prevé aumentar su plantilla, </w:t>
      </w:r>
      <w:r w:rsidR="002E4A5C">
        <w:rPr>
          <w:rFonts w:ascii="Arial" w:eastAsia="Arial" w:hAnsi="Arial" w:cs="Arial"/>
          <w:b/>
          <w:sz w:val="23"/>
          <w:szCs w:val="23"/>
        </w:rPr>
        <w:t xml:space="preserve">mientras </w:t>
      </w:r>
      <w:r w:rsidR="002E4A5C" w:rsidRPr="002E4A5C">
        <w:rPr>
          <w:rFonts w:ascii="Arial" w:eastAsia="Arial" w:hAnsi="Arial" w:cs="Arial"/>
          <w:b/>
          <w:sz w:val="23"/>
          <w:szCs w:val="23"/>
        </w:rPr>
        <w:t>que el 41% pretende mantenerla</w:t>
      </w:r>
      <w:r w:rsidR="002E4A5C">
        <w:rPr>
          <w:rFonts w:ascii="Arial" w:eastAsia="Arial" w:hAnsi="Arial" w:cs="Arial"/>
          <w:b/>
          <w:sz w:val="23"/>
          <w:szCs w:val="23"/>
        </w:rPr>
        <w:t xml:space="preserve"> </w:t>
      </w:r>
      <w:r w:rsidR="002E4A5C" w:rsidRPr="002E4A5C">
        <w:rPr>
          <w:rFonts w:ascii="Arial" w:eastAsia="Arial" w:hAnsi="Arial" w:cs="Arial"/>
          <w:b/>
          <w:sz w:val="23"/>
          <w:szCs w:val="23"/>
        </w:rPr>
        <w:t xml:space="preserve">y 2 de cada 10 </w:t>
      </w:r>
      <w:r w:rsidR="002E4A5C">
        <w:rPr>
          <w:rFonts w:ascii="Arial" w:eastAsia="Arial" w:hAnsi="Arial" w:cs="Arial"/>
          <w:b/>
          <w:sz w:val="23"/>
          <w:szCs w:val="23"/>
        </w:rPr>
        <w:t xml:space="preserve">anticipan </w:t>
      </w:r>
      <w:r w:rsidR="002E4A5C" w:rsidRPr="002E4A5C">
        <w:rPr>
          <w:rFonts w:ascii="Arial" w:eastAsia="Arial" w:hAnsi="Arial" w:cs="Arial"/>
          <w:b/>
          <w:sz w:val="23"/>
          <w:szCs w:val="23"/>
        </w:rPr>
        <w:t>reducciones en sus equipos</w:t>
      </w:r>
      <w:r w:rsidR="002E4A5C">
        <w:rPr>
          <w:rFonts w:ascii="Arial" w:eastAsia="Arial" w:hAnsi="Arial" w:cs="Arial"/>
          <w:b/>
          <w:sz w:val="23"/>
          <w:szCs w:val="23"/>
        </w:rPr>
        <w:t>.</w:t>
      </w:r>
    </w:p>
    <w:p w14:paraId="5631EBBB" w14:textId="3469F14F" w:rsidR="00443A21" w:rsidRDefault="00DA2D0A" w:rsidP="00090345">
      <w:pPr>
        <w:pStyle w:val="Prrafodelista"/>
        <w:numPr>
          <w:ilvl w:val="0"/>
          <w:numId w:val="1"/>
        </w:numPr>
        <w:spacing w:before="120" w:line="288" w:lineRule="auto"/>
        <w:ind w:left="360"/>
        <w:contextualSpacing w:val="0"/>
        <w:jc w:val="both"/>
        <w:rPr>
          <w:rFonts w:ascii="Arial" w:eastAsia="Arial" w:hAnsi="Arial" w:cs="Arial"/>
          <w:b/>
          <w:sz w:val="23"/>
          <w:szCs w:val="23"/>
        </w:rPr>
      </w:pPr>
      <w:r>
        <w:rPr>
          <w:rFonts w:ascii="Arial" w:eastAsia="Arial" w:hAnsi="Arial" w:cs="Arial"/>
          <w:b/>
          <w:sz w:val="23"/>
          <w:szCs w:val="23"/>
        </w:rPr>
        <w:t>En este trimestre, las estimaciones</w:t>
      </w:r>
      <w:r w:rsidR="00A20F38">
        <w:rPr>
          <w:rFonts w:ascii="Arial" w:eastAsia="Arial" w:hAnsi="Arial" w:cs="Arial"/>
          <w:b/>
          <w:sz w:val="23"/>
          <w:szCs w:val="23"/>
        </w:rPr>
        <w:t xml:space="preserve"> está</w:t>
      </w:r>
      <w:r>
        <w:rPr>
          <w:rFonts w:ascii="Arial" w:eastAsia="Arial" w:hAnsi="Arial" w:cs="Arial"/>
          <w:b/>
          <w:sz w:val="23"/>
          <w:szCs w:val="23"/>
        </w:rPr>
        <w:t>n</w:t>
      </w:r>
      <w:r w:rsidR="00A20F38">
        <w:rPr>
          <w:rFonts w:ascii="Arial" w:eastAsia="Arial" w:hAnsi="Arial" w:cs="Arial"/>
          <w:b/>
          <w:sz w:val="23"/>
          <w:szCs w:val="23"/>
        </w:rPr>
        <w:t xml:space="preserve"> notablemente por encima de la media nacional de los últimos 10 años (8%)</w:t>
      </w:r>
      <w:r w:rsidR="002E4A5C">
        <w:rPr>
          <w:rFonts w:ascii="Arial" w:eastAsia="Arial" w:hAnsi="Arial" w:cs="Arial"/>
          <w:b/>
          <w:sz w:val="23"/>
          <w:szCs w:val="23"/>
        </w:rPr>
        <w:t xml:space="preserve">, aunque aún por debajo de </w:t>
      </w:r>
      <w:r w:rsidR="002E4A5C" w:rsidRPr="003A5A50">
        <w:rPr>
          <w:rFonts w:ascii="Arial" w:eastAsia="Arial" w:hAnsi="Arial" w:cs="Arial"/>
          <w:b/>
          <w:sz w:val="23"/>
          <w:szCs w:val="23"/>
        </w:rPr>
        <w:t>la media global</w:t>
      </w:r>
      <w:r w:rsidR="003A5A50" w:rsidRPr="003A5A50">
        <w:rPr>
          <w:rFonts w:ascii="Arial" w:eastAsia="Arial" w:hAnsi="Arial" w:cs="Arial"/>
          <w:b/>
          <w:sz w:val="23"/>
          <w:szCs w:val="23"/>
        </w:rPr>
        <w:t>.</w:t>
      </w:r>
    </w:p>
    <w:p w14:paraId="044943F3" w14:textId="5CFA353D" w:rsidR="003A5A50" w:rsidRPr="003A5A50" w:rsidRDefault="003A5A50" w:rsidP="00090345">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sidRPr="003A5A50">
        <w:rPr>
          <w:rFonts w:ascii="Arial" w:eastAsia="Arial" w:hAnsi="Arial" w:cs="Arial"/>
          <w:b/>
          <w:bCs/>
          <w:sz w:val="22"/>
          <w:szCs w:val="22"/>
        </w:rPr>
        <w:t>Tecnología, Financiero e inmobiliario, y Energía y suministros</w:t>
      </w:r>
      <w:r w:rsidR="00D076F3">
        <w:rPr>
          <w:rFonts w:ascii="Arial" w:eastAsia="Arial" w:hAnsi="Arial" w:cs="Arial"/>
          <w:b/>
          <w:bCs/>
          <w:sz w:val="22"/>
          <w:szCs w:val="22"/>
        </w:rPr>
        <w:t xml:space="preserve"> son</w:t>
      </w:r>
      <w:r w:rsidRPr="003A5A50">
        <w:rPr>
          <w:rFonts w:ascii="Arial" w:eastAsia="Arial" w:hAnsi="Arial" w:cs="Arial"/>
          <w:b/>
          <w:bCs/>
          <w:sz w:val="22"/>
          <w:szCs w:val="22"/>
        </w:rPr>
        <w:t xml:space="preserve"> los sectores más optimistas en </w:t>
      </w:r>
      <w:r>
        <w:rPr>
          <w:rFonts w:ascii="Arial" w:eastAsia="Arial" w:hAnsi="Arial" w:cs="Arial"/>
          <w:b/>
          <w:bCs/>
          <w:sz w:val="22"/>
          <w:szCs w:val="22"/>
        </w:rPr>
        <w:t>sus estimaciones</w:t>
      </w:r>
      <w:r w:rsidR="00D076F3">
        <w:rPr>
          <w:rFonts w:ascii="Arial" w:eastAsia="Arial" w:hAnsi="Arial" w:cs="Arial"/>
          <w:b/>
          <w:bCs/>
          <w:sz w:val="22"/>
          <w:szCs w:val="22"/>
        </w:rPr>
        <w:t xml:space="preserve"> y anticipan</w:t>
      </w:r>
      <w:r>
        <w:rPr>
          <w:rFonts w:ascii="Arial" w:eastAsia="Arial" w:hAnsi="Arial" w:cs="Arial"/>
          <w:b/>
          <w:bCs/>
          <w:sz w:val="22"/>
          <w:szCs w:val="22"/>
        </w:rPr>
        <w:t xml:space="preserve"> </w:t>
      </w:r>
      <w:r w:rsidR="00D076F3">
        <w:rPr>
          <w:rFonts w:ascii="Arial" w:eastAsia="Arial" w:hAnsi="Arial" w:cs="Arial"/>
          <w:b/>
          <w:bCs/>
          <w:sz w:val="22"/>
          <w:szCs w:val="22"/>
        </w:rPr>
        <w:t xml:space="preserve">un </w:t>
      </w:r>
      <w:r>
        <w:rPr>
          <w:rFonts w:ascii="Arial" w:eastAsia="Arial" w:hAnsi="Arial" w:cs="Arial"/>
          <w:b/>
          <w:bCs/>
          <w:sz w:val="22"/>
          <w:szCs w:val="22"/>
        </w:rPr>
        <w:t>34%, 24% y 20%, respectivamente.</w:t>
      </w:r>
    </w:p>
    <w:p w14:paraId="39A43A82" w14:textId="2AAEBE27" w:rsidR="00894DEA" w:rsidRDefault="003A5A50" w:rsidP="00090345">
      <w:pPr>
        <w:pStyle w:val="Prrafodelista"/>
        <w:numPr>
          <w:ilvl w:val="0"/>
          <w:numId w:val="1"/>
        </w:numPr>
        <w:spacing w:before="120" w:line="288" w:lineRule="auto"/>
        <w:ind w:left="360"/>
        <w:contextualSpacing w:val="0"/>
        <w:jc w:val="both"/>
        <w:rPr>
          <w:rFonts w:ascii="Arial" w:eastAsiaTheme="minorEastAsia" w:hAnsi="Arial" w:cs="Arial"/>
          <w:b/>
          <w:bCs/>
          <w:sz w:val="22"/>
          <w:szCs w:val="22"/>
          <w:lang w:eastAsia="zh-CN"/>
        </w:rPr>
      </w:pPr>
      <w:r>
        <w:rPr>
          <w:rFonts w:ascii="Arial" w:eastAsia="Arial" w:hAnsi="Arial" w:cs="Arial"/>
          <w:b/>
          <w:bCs/>
          <w:sz w:val="22"/>
          <w:szCs w:val="22"/>
        </w:rPr>
        <w:t xml:space="preserve">En el análisis regional, </w:t>
      </w:r>
      <w:r w:rsidRPr="00204E64">
        <w:rPr>
          <w:rFonts w:ascii="Arial" w:eastAsia="Arial" w:hAnsi="Arial" w:cs="Arial"/>
          <w:b/>
          <w:bCs/>
          <w:sz w:val="22"/>
          <w:szCs w:val="22"/>
        </w:rPr>
        <w:t>Levante (Comunidad Valenciana y Región de Murcia)</w:t>
      </w:r>
      <w:r w:rsidR="00E909F9">
        <w:rPr>
          <w:rFonts w:ascii="Arial" w:eastAsia="Arial" w:hAnsi="Arial" w:cs="Arial"/>
          <w:b/>
          <w:bCs/>
          <w:sz w:val="22"/>
          <w:szCs w:val="22"/>
        </w:rPr>
        <w:t>, con un 17%, y Sur (Andalucía, Extremadura y Canarias), con un 14%, lideran las expectativas</w:t>
      </w:r>
      <w:r>
        <w:rPr>
          <w:rFonts w:ascii="Arial" w:eastAsia="Arial" w:hAnsi="Arial" w:cs="Arial"/>
          <w:b/>
          <w:bCs/>
          <w:sz w:val="22"/>
          <w:szCs w:val="22"/>
        </w:rPr>
        <w:t>.</w:t>
      </w:r>
    </w:p>
    <w:bookmarkEnd w:id="0"/>
    <w:p w14:paraId="3ECE217B" w14:textId="77777777" w:rsidR="005F3998" w:rsidRDefault="005F3998" w:rsidP="00090345">
      <w:pPr>
        <w:spacing w:before="120" w:line="288" w:lineRule="auto"/>
        <w:jc w:val="both"/>
        <w:rPr>
          <w:rFonts w:ascii="Arial" w:eastAsia="Arial" w:hAnsi="Arial" w:cs="Arial"/>
          <w:b/>
          <w:sz w:val="22"/>
          <w:szCs w:val="22"/>
        </w:rPr>
      </w:pPr>
    </w:p>
    <w:p w14:paraId="42039038" w14:textId="73C2476D" w:rsidR="00A645A2" w:rsidRPr="00A645A2" w:rsidRDefault="001A2A76" w:rsidP="00090345">
      <w:pPr>
        <w:spacing w:before="120" w:line="288"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750181">
        <w:rPr>
          <w:rFonts w:ascii="Arial" w:eastAsia="Arial" w:hAnsi="Arial" w:cs="Arial"/>
          <w:b/>
          <w:sz w:val="22"/>
          <w:szCs w:val="22"/>
        </w:rPr>
        <w:t xml:space="preserve">12 </w:t>
      </w:r>
      <w:r w:rsidR="00380B8C" w:rsidRPr="00204E64">
        <w:rPr>
          <w:rFonts w:ascii="Arial" w:eastAsia="Arial" w:hAnsi="Arial" w:cs="Arial"/>
          <w:b/>
          <w:sz w:val="22"/>
          <w:szCs w:val="22"/>
        </w:rPr>
        <w:t xml:space="preserve">de </w:t>
      </w:r>
      <w:r w:rsidR="009F315E">
        <w:rPr>
          <w:rFonts w:ascii="Arial" w:eastAsia="Arial" w:hAnsi="Arial" w:cs="Arial"/>
          <w:b/>
          <w:sz w:val="22"/>
          <w:szCs w:val="22"/>
        </w:rPr>
        <w:t>marzo de 2024</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A645A2" w:rsidRPr="00A645A2">
        <w:rPr>
          <w:rFonts w:ascii="Arial" w:eastAsia="Arial" w:hAnsi="Arial" w:cs="Arial"/>
          <w:bCs/>
          <w:sz w:val="22"/>
          <w:szCs w:val="22"/>
        </w:rPr>
        <w:t>L</w:t>
      </w:r>
      <w:r w:rsidR="00A645A2">
        <w:rPr>
          <w:rFonts w:ascii="Arial" w:eastAsia="Arial" w:hAnsi="Arial" w:cs="Arial"/>
          <w:bCs/>
          <w:sz w:val="22"/>
          <w:szCs w:val="22"/>
        </w:rPr>
        <w:t xml:space="preserve">as previsiones de contratación en las empresas españolas para el segundo trimestre del año se mantienen en cifras positivas, según se refleja en la última edición del </w:t>
      </w:r>
      <w:r w:rsidR="00A645A2" w:rsidRPr="00A645A2">
        <w:rPr>
          <w:rFonts w:ascii="Arial" w:eastAsia="Arial" w:hAnsi="Arial" w:cs="Arial"/>
          <w:bCs/>
          <w:sz w:val="22"/>
          <w:szCs w:val="22"/>
        </w:rPr>
        <w:t>Estudio de Proyección de Empleo de ManpowerGroup</w:t>
      </w:r>
      <w:r w:rsidR="00A645A2">
        <w:rPr>
          <w:rFonts w:ascii="Arial" w:eastAsia="Arial" w:hAnsi="Arial" w:cs="Arial"/>
          <w:bCs/>
          <w:sz w:val="22"/>
          <w:szCs w:val="22"/>
        </w:rPr>
        <w:t xml:space="preserve">. Así, para el periodo comprendido entre </w:t>
      </w:r>
      <w:r w:rsidR="00281944">
        <w:rPr>
          <w:rFonts w:ascii="Arial" w:eastAsia="Arial" w:hAnsi="Arial" w:cs="Arial"/>
          <w:bCs/>
          <w:sz w:val="22"/>
          <w:szCs w:val="22"/>
        </w:rPr>
        <w:t>abril y junio</w:t>
      </w:r>
      <w:r w:rsidR="00A645A2">
        <w:rPr>
          <w:rFonts w:ascii="Arial" w:eastAsia="Arial" w:hAnsi="Arial" w:cs="Arial"/>
          <w:bCs/>
          <w:sz w:val="22"/>
          <w:szCs w:val="22"/>
        </w:rPr>
        <w:t>, el 35% de las compañías prevé aumentar su plantilla, mientras que el 41% pretende mantenerla y solo 2 de cada 10 creen que habrá reducciones en su</w:t>
      </w:r>
      <w:r w:rsidR="00D076F3">
        <w:rPr>
          <w:rFonts w:ascii="Arial" w:eastAsia="Arial" w:hAnsi="Arial" w:cs="Arial"/>
          <w:bCs/>
          <w:sz w:val="22"/>
          <w:szCs w:val="22"/>
        </w:rPr>
        <w:t>s</w:t>
      </w:r>
      <w:r w:rsidR="00A645A2">
        <w:rPr>
          <w:rFonts w:ascii="Arial" w:eastAsia="Arial" w:hAnsi="Arial" w:cs="Arial"/>
          <w:bCs/>
          <w:sz w:val="22"/>
          <w:szCs w:val="22"/>
        </w:rPr>
        <w:t xml:space="preserve"> equipo</w:t>
      </w:r>
      <w:r w:rsidR="00D076F3">
        <w:rPr>
          <w:rFonts w:ascii="Arial" w:eastAsia="Arial" w:hAnsi="Arial" w:cs="Arial"/>
          <w:bCs/>
          <w:sz w:val="22"/>
          <w:szCs w:val="22"/>
        </w:rPr>
        <w:t>s</w:t>
      </w:r>
      <w:r w:rsidR="00A645A2">
        <w:rPr>
          <w:rFonts w:ascii="Arial" w:eastAsia="Arial" w:hAnsi="Arial" w:cs="Arial"/>
          <w:bCs/>
          <w:sz w:val="22"/>
          <w:szCs w:val="22"/>
        </w:rPr>
        <w:t xml:space="preserve">. </w:t>
      </w:r>
      <w:r w:rsidR="00281944">
        <w:rPr>
          <w:rFonts w:ascii="Arial" w:eastAsia="Arial" w:hAnsi="Arial" w:cs="Arial"/>
          <w:bCs/>
          <w:sz w:val="22"/>
          <w:szCs w:val="22"/>
        </w:rPr>
        <w:t xml:space="preserve">En consecuencia, </w:t>
      </w:r>
      <w:r w:rsidR="00281944" w:rsidRPr="00A20F38">
        <w:rPr>
          <w:rFonts w:ascii="Arial" w:eastAsia="Arial" w:hAnsi="Arial" w:cs="Arial"/>
          <w:b/>
          <w:sz w:val="22"/>
          <w:szCs w:val="22"/>
        </w:rPr>
        <w:t>las previsiones netas de contratación se sitúan en el 14%</w:t>
      </w:r>
      <w:r w:rsidR="00D076F3" w:rsidRPr="00A20F38">
        <w:rPr>
          <w:rFonts w:ascii="Arial" w:eastAsia="Arial" w:hAnsi="Arial" w:cs="Arial"/>
          <w:b/>
          <w:sz w:val="22"/>
          <w:szCs w:val="22"/>
        </w:rPr>
        <w:t>.</w:t>
      </w:r>
      <w:r w:rsidR="00D076F3">
        <w:rPr>
          <w:rFonts w:ascii="Arial" w:eastAsia="Arial" w:hAnsi="Arial" w:cs="Arial"/>
          <w:bCs/>
          <w:sz w:val="22"/>
          <w:szCs w:val="22"/>
        </w:rPr>
        <w:t xml:space="preserve"> El dato es positivo</w:t>
      </w:r>
      <w:r w:rsidR="00331310">
        <w:rPr>
          <w:rFonts w:ascii="Arial" w:eastAsia="Arial" w:hAnsi="Arial" w:cs="Arial"/>
          <w:bCs/>
          <w:sz w:val="22"/>
          <w:szCs w:val="22"/>
        </w:rPr>
        <w:t xml:space="preserve"> y</w:t>
      </w:r>
      <w:r w:rsidR="00D076F3">
        <w:rPr>
          <w:rFonts w:ascii="Arial" w:eastAsia="Arial" w:hAnsi="Arial" w:cs="Arial"/>
          <w:bCs/>
          <w:sz w:val="22"/>
          <w:szCs w:val="22"/>
        </w:rPr>
        <w:t>, aunque se sitúa</w:t>
      </w:r>
      <w:r w:rsidR="00281944">
        <w:rPr>
          <w:rFonts w:ascii="Arial" w:eastAsia="Arial" w:hAnsi="Arial" w:cs="Arial"/>
          <w:bCs/>
          <w:sz w:val="22"/>
          <w:szCs w:val="22"/>
        </w:rPr>
        <w:t xml:space="preserve"> 8 puntos por debajo de la media global y 3 </w:t>
      </w:r>
      <w:r w:rsidR="00331310">
        <w:rPr>
          <w:rFonts w:ascii="Arial" w:eastAsia="Arial" w:hAnsi="Arial" w:cs="Arial"/>
          <w:bCs/>
          <w:sz w:val="22"/>
          <w:szCs w:val="22"/>
        </w:rPr>
        <w:t xml:space="preserve">por detrás de los primeros tres meses </w:t>
      </w:r>
      <w:r w:rsidR="00281944">
        <w:rPr>
          <w:rFonts w:ascii="Arial" w:eastAsia="Arial" w:hAnsi="Arial" w:cs="Arial"/>
          <w:bCs/>
          <w:sz w:val="22"/>
          <w:szCs w:val="22"/>
        </w:rPr>
        <w:t>en España</w:t>
      </w:r>
      <w:r w:rsidR="00331310">
        <w:rPr>
          <w:rFonts w:ascii="Arial" w:eastAsia="Arial" w:hAnsi="Arial" w:cs="Arial"/>
          <w:bCs/>
          <w:sz w:val="22"/>
          <w:szCs w:val="22"/>
        </w:rPr>
        <w:t xml:space="preserve">, mejora en </w:t>
      </w:r>
      <w:r w:rsidR="00715BBB">
        <w:rPr>
          <w:rFonts w:ascii="Arial" w:eastAsia="Arial" w:hAnsi="Arial" w:cs="Arial"/>
          <w:bCs/>
          <w:sz w:val="22"/>
          <w:szCs w:val="22"/>
        </w:rPr>
        <w:t>2</w:t>
      </w:r>
      <w:r w:rsidR="00331310">
        <w:rPr>
          <w:rFonts w:ascii="Arial" w:eastAsia="Arial" w:hAnsi="Arial" w:cs="Arial"/>
          <w:bCs/>
          <w:sz w:val="22"/>
          <w:szCs w:val="22"/>
        </w:rPr>
        <w:t xml:space="preserve"> puntos el </w:t>
      </w:r>
      <w:r w:rsidR="00A20F38">
        <w:rPr>
          <w:rFonts w:ascii="Arial" w:eastAsia="Arial" w:hAnsi="Arial" w:cs="Arial"/>
          <w:bCs/>
          <w:sz w:val="22"/>
          <w:szCs w:val="22"/>
        </w:rPr>
        <w:t xml:space="preserve">resultado </w:t>
      </w:r>
      <w:r w:rsidR="00331310">
        <w:rPr>
          <w:rFonts w:ascii="Arial" w:eastAsia="Arial" w:hAnsi="Arial" w:cs="Arial"/>
          <w:bCs/>
          <w:sz w:val="22"/>
          <w:szCs w:val="22"/>
        </w:rPr>
        <w:t>del segundo trimestre de 2023</w:t>
      </w:r>
      <w:r w:rsidR="00A20F38" w:rsidRPr="00A20F38">
        <w:rPr>
          <w:rFonts w:ascii="Arial" w:eastAsia="Arial" w:hAnsi="Arial" w:cs="Arial"/>
          <w:bCs/>
          <w:sz w:val="22"/>
          <w:szCs w:val="22"/>
        </w:rPr>
        <w:t>.</w:t>
      </w:r>
    </w:p>
    <w:p w14:paraId="6AA69B53" w14:textId="3E25CAB2" w:rsidR="00281944" w:rsidRDefault="00D076F3" w:rsidP="00090345">
      <w:pPr>
        <w:spacing w:before="120" w:line="288" w:lineRule="auto"/>
        <w:jc w:val="both"/>
        <w:rPr>
          <w:rFonts w:ascii="Arial" w:eastAsia="Arial" w:hAnsi="Arial" w:cs="Arial"/>
          <w:bCs/>
          <w:sz w:val="22"/>
          <w:szCs w:val="22"/>
        </w:rPr>
      </w:pPr>
      <w:r>
        <w:rPr>
          <w:rFonts w:ascii="Arial" w:eastAsia="Arial" w:hAnsi="Arial" w:cs="Arial"/>
          <w:bCs/>
          <w:sz w:val="22"/>
          <w:szCs w:val="22"/>
        </w:rPr>
        <w:t xml:space="preserve">A pesar de que </w:t>
      </w:r>
      <w:r w:rsidR="00A20F38">
        <w:rPr>
          <w:rFonts w:ascii="Arial" w:eastAsia="Arial" w:hAnsi="Arial" w:cs="Arial"/>
          <w:bCs/>
          <w:sz w:val="22"/>
          <w:szCs w:val="22"/>
        </w:rPr>
        <w:t xml:space="preserve">se mantiene una cierta </w:t>
      </w:r>
      <w:r w:rsidR="00281944">
        <w:rPr>
          <w:rFonts w:ascii="Arial" w:eastAsia="Arial" w:hAnsi="Arial" w:cs="Arial"/>
          <w:bCs/>
          <w:sz w:val="22"/>
          <w:szCs w:val="22"/>
        </w:rPr>
        <w:t>tendencia decreciente</w:t>
      </w:r>
      <w:r>
        <w:rPr>
          <w:rFonts w:ascii="Arial" w:eastAsia="Arial" w:hAnsi="Arial" w:cs="Arial"/>
          <w:bCs/>
          <w:sz w:val="22"/>
          <w:szCs w:val="22"/>
        </w:rPr>
        <w:t xml:space="preserve">, con leves bajadas en los últimos 4 trimestres, el dato para el periodo abril-junio 2024 </w:t>
      </w:r>
      <w:r w:rsidRPr="00D076F3">
        <w:rPr>
          <w:rFonts w:ascii="Arial" w:eastAsia="Arial" w:hAnsi="Arial" w:cs="Arial"/>
          <w:bCs/>
          <w:sz w:val="22"/>
          <w:szCs w:val="22"/>
        </w:rPr>
        <w:t>supera ampliamente la media nacional a lo largo de los últimos 10 años (8%)</w:t>
      </w:r>
      <w:r w:rsidR="00281944">
        <w:rPr>
          <w:rFonts w:ascii="Arial" w:eastAsia="Arial" w:hAnsi="Arial" w:cs="Arial"/>
          <w:bCs/>
          <w:sz w:val="22"/>
          <w:szCs w:val="22"/>
        </w:rPr>
        <w:t xml:space="preserve">. </w:t>
      </w:r>
      <w:r w:rsidR="00204E64" w:rsidRPr="00731C5F">
        <w:rPr>
          <w:rFonts w:ascii="Arial" w:eastAsia="Arial" w:hAnsi="Arial" w:cs="Arial"/>
          <w:b/>
          <w:sz w:val="22"/>
          <w:szCs w:val="22"/>
        </w:rPr>
        <w:t>Francisco Ribeiro, Country Manager de ManpowerGroup</w:t>
      </w:r>
      <w:r w:rsidR="00204E64" w:rsidRPr="00731C5F">
        <w:rPr>
          <w:rFonts w:ascii="Arial" w:eastAsia="Arial" w:hAnsi="Arial" w:cs="Arial"/>
          <w:bCs/>
          <w:sz w:val="22"/>
          <w:szCs w:val="22"/>
        </w:rPr>
        <w:t xml:space="preserve">, </w:t>
      </w:r>
      <w:r w:rsidR="00281944">
        <w:rPr>
          <w:rFonts w:ascii="Arial" w:eastAsia="Arial" w:hAnsi="Arial" w:cs="Arial"/>
          <w:bCs/>
          <w:sz w:val="22"/>
          <w:szCs w:val="22"/>
        </w:rPr>
        <w:t>explica</w:t>
      </w:r>
      <w:r w:rsidR="00731C5F" w:rsidRPr="00731C5F">
        <w:rPr>
          <w:rFonts w:ascii="Arial" w:eastAsia="Arial" w:hAnsi="Arial" w:cs="Arial"/>
          <w:bCs/>
          <w:sz w:val="22"/>
          <w:szCs w:val="22"/>
        </w:rPr>
        <w:t xml:space="preserve">: </w:t>
      </w:r>
      <w:r w:rsidR="00204E64" w:rsidRPr="00731C5F">
        <w:rPr>
          <w:rFonts w:ascii="Arial" w:eastAsia="Arial" w:hAnsi="Arial" w:cs="Arial"/>
          <w:bCs/>
          <w:i/>
          <w:iCs/>
          <w:sz w:val="22"/>
          <w:szCs w:val="22"/>
        </w:rPr>
        <w:t>“</w:t>
      </w:r>
      <w:r w:rsidR="00FE6AB0">
        <w:rPr>
          <w:rFonts w:ascii="Arial" w:eastAsia="Arial" w:hAnsi="Arial" w:cs="Arial"/>
          <w:bCs/>
          <w:i/>
          <w:iCs/>
          <w:sz w:val="22"/>
          <w:szCs w:val="22"/>
        </w:rPr>
        <w:t xml:space="preserve">en </w:t>
      </w:r>
      <w:r w:rsidR="00281944">
        <w:rPr>
          <w:rFonts w:ascii="Arial" w:eastAsia="Arial" w:hAnsi="Arial" w:cs="Arial"/>
          <w:bCs/>
          <w:i/>
          <w:iCs/>
          <w:sz w:val="22"/>
          <w:szCs w:val="22"/>
        </w:rPr>
        <w:t xml:space="preserve">el </w:t>
      </w:r>
      <w:r w:rsidR="0095341D">
        <w:rPr>
          <w:rFonts w:ascii="Arial" w:eastAsia="Arial" w:hAnsi="Arial" w:cs="Arial"/>
          <w:bCs/>
          <w:i/>
          <w:iCs/>
          <w:sz w:val="22"/>
          <w:szCs w:val="22"/>
        </w:rPr>
        <w:t>tercer</w:t>
      </w:r>
      <w:r w:rsidR="00281944">
        <w:rPr>
          <w:rFonts w:ascii="Arial" w:eastAsia="Arial" w:hAnsi="Arial" w:cs="Arial"/>
          <w:bCs/>
          <w:i/>
          <w:iCs/>
          <w:sz w:val="22"/>
          <w:szCs w:val="22"/>
        </w:rPr>
        <w:t xml:space="preserve"> trimestre de 2023</w:t>
      </w:r>
      <w:r w:rsidR="00FE6AB0">
        <w:rPr>
          <w:rFonts w:ascii="Arial" w:eastAsia="Arial" w:hAnsi="Arial" w:cs="Arial"/>
          <w:bCs/>
          <w:i/>
          <w:iCs/>
          <w:sz w:val="22"/>
          <w:szCs w:val="22"/>
        </w:rPr>
        <w:t xml:space="preserve">, asistimos a </w:t>
      </w:r>
      <w:r w:rsidR="0095341D">
        <w:rPr>
          <w:rFonts w:ascii="Arial" w:eastAsia="Arial" w:hAnsi="Arial" w:cs="Arial"/>
          <w:bCs/>
          <w:i/>
          <w:iCs/>
          <w:sz w:val="22"/>
          <w:szCs w:val="22"/>
        </w:rPr>
        <w:t xml:space="preserve">un aumento </w:t>
      </w:r>
      <w:proofErr w:type="spellStart"/>
      <w:r w:rsidR="0095341D">
        <w:rPr>
          <w:rFonts w:ascii="Arial" w:eastAsia="Arial" w:hAnsi="Arial" w:cs="Arial"/>
          <w:bCs/>
          <w:i/>
          <w:iCs/>
          <w:sz w:val="22"/>
          <w:szCs w:val="22"/>
        </w:rPr>
        <w:t>intertrimestral</w:t>
      </w:r>
      <w:proofErr w:type="spellEnd"/>
      <w:r w:rsidR="0095341D">
        <w:rPr>
          <w:rFonts w:ascii="Arial" w:eastAsia="Arial" w:hAnsi="Arial" w:cs="Arial"/>
          <w:bCs/>
          <w:i/>
          <w:iCs/>
          <w:sz w:val="22"/>
          <w:szCs w:val="22"/>
        </w:rPr>
        <w:t xml:space="preserve"> en las previsiones de contratación </w:t>
      </w:r>
      <w:r w:rsidR="00FE6AB0">
        <w:rPr>
          <w:rFonts w:ascii="Arial" w:eastAsia="Arial" w:hAnsi="Arial" w:cs="Arial"/>
          <w:bCs/>
          <w:i/>
          <w:iCs/>
          <w:sz w:val="22"/>
          <w:szCs w:val="22"/>
        </w:rPr>
        <w:t>especialmente</w:t>
      </w:r>
      <w:r w:rsidR="0095341D">
        <w:rPr>
          <w:rFonts w:ascii="Arial" w:eastAsia="Arial" w:hAnsi="Arial" w:cs="Arial"/>
          <w:bCs/>
          <w:i/>
          <w:iCs/>
          <w:sz w:val="22"/>
          <w:szCs w:val="22"/>
        </w:rPr>
        <w:t xml:space="preserve"> pronunciado, el más elevado </w:t>
      </w:r>
      <w:r>
        <w:rPr>
          <w:rFonts w:ascii="Arial" w:eastAsia="Arial" w:hAnsi="Arial" w:cs="Arial"/>
          <w:bCs/>
          <w:i/>
          <w:iCs/>
          <w:sz w:val="22"/>
          <w:szCs w:val="22"/>
        </w:rPr>
        <w:t>de</w:t>
      </w:r>
      <w:r w:rsidR="00331310">
        <w:rPr>
          <w:rFonts w:ascii="Arial" w:eastAsia="Arial" w:hAnsi="Arial" w:cs="Arial"/>
          <w:bCs/>
          <w:i/>
          <w:iCs/>
          <w:sz w:val="22"/>
          <w:szCs w:val="22"/>
        </w:rPr>
        <w:t xml:space="preserve"> la última década</w:t>
      </w:r>
      <w:r>
        <w:rPr>
          <w:rFonts w:ascii="Arial" w:eastAsia="Arial" w:hAnsi="Arial" w:cs="Arial"/>
          <w:bCs/>
          <w:i/>
          <w:iCs/>
          <w:sz w:val="22"/>
          <w:szCs w:val="22"/>
        </w:rPr>
        <w:t>, si dejamos de lado la recuperación postpandemia</w:t>
      </w:r>
      <w:r w:rsidR="0095341D">
        <w:rPr>
          <w:rFonts w:ascii="Arial" w:eastAsia="Arial" w:hAnsi="Arial" w:cs="Arial"/>
          <w:bCs/>
          <w:i/>
          <w:iCs/>
          <w:sz w:val="22"/>
          <w:szCs w:val="22"/>
        </w:rPr>
        <w:t xml:space="preserve">. </w:t>
      </w:r>
      <w:r w:rsidR="00331310">
        <w:rPr>
          <w:rFonts w:ascii="Arial" w:eastAsia="Arial" w:hAnsi="Arial" w:cs="Arial"/>
          <w:bCs/>
          <w:i/>
          <w:iCs/>
          <w:sz w:val="22"/>
          <w:szCs w:val="22"/>
        </w:rPr>
        <w:t xml:space="preserve">Por tanto, </w:t>
      </w:r>
      <w:r w:rsidR="00685895">
        <w:rPr>
          <w:rFonts w:ascii="Arial" w:eastAsia="Arial" w:hAnsi="Arial" w:cs="Arial"/>
          <w:bCs/>
          <w:i/>
          <w:iCs/>
          <w:sz w:val="22"/>
          <w:szCs w:val="22"/>
        </w:rPr>
        <w:t xml:space="preserve">aún con una </w:t>
      </w:r>
      <w:r w:rsidR="00331310">
        <w:rPr>
          <w:rFonts w:ascii="Arial" w:eastAsia="Arial" w:hAnsi="Arial" w:cs="Arial"/>
          <w:bCs/>
          <w:i/>
          <w:iCs/>
          <w:sz w:val="22"/>
          <w:szCs w:val="22"/>
        </w:rPr>
        <w:t>tendencia decreciente, e</w:t>
      </w:r>
      <w:r>
        <w:rPr>
          <w:rFonts w:ascii="Arial" w:eastAsia="Arial" w:hAnsi="Arial" w:cs="Arial"/>
          <w:bCs/>
          <w:i/>
          <w:iCs/>
          <w:sz w:val="22"/>
          <w:szCs w:val="22"/>
        </w:rPr>
        <w:t xml:space="preserve">l análisis que hacemos es </w:t>
      </w:r>
      <w:r w:rsidRPr="00685895">
        <w:rPr>
          <w:rFonts w:ascii="Arial" w:eastAsia="Arial" w:hAnsi="Arial" w:cs="Arial"/>
          <w:bCs/>
          <w:i/>
          <w:iCs/>
          <w:sz w:val="22"/>
          <w:szCs w:val="22"/>
        </w:rPr>
        <w:t>que, a pesar de la incertidumbre, los conflictos internacionales y la inflación, las empresas</w:t>
      </w:r>
      <w:r>
        <w:rPr>
          <w:rFonts w:ascii="Arial" w:eastAsia="Arial" w:hAnsi="Arial" w:cs="Arial"/>
          <w:bCs/>
          <w:i/>
          <w:iCs/>
          <w:sz w:val="22"/>
          <w:szCs w:val="22"/>
        </w:rPr>
        <w:t xml:space="preserve"> españolas mantienen su voluntad de hacer crecer sus equipos en todos los sectores y en todas las regiones</w:t>
      </w:r>
      <w:r w:rsidR="0095341D" w:rsidRPr="00331310">
        <w:rPr>
          <w:rFonts w:ascii="Arial" w:eastAsia="Arial" w:hAnsi="Arial" w:cs="Arial"/>
          <w:bCs/>
          <w:sz w:val="22"/>
          <w:szCs w:val="22"/>
        </w:rPr>
        <w:t>”.</w:t>
      </w:r>
    </w:p>
    <w:p w14:paraId="01F03C47" w14:textId="77777777" w:rsidR="00331310" w:rsidRDefault="00331310" w:rsidP="00090345">
      <w:pPr>
        <w:spacing w:before="120" w:line="288" w:lineRule="auto"/>
        <w:jc w:val="both"/>
        <w:rPr>
          <w:rFonts w:ascii="Arial" w:eastAsia="Arial" w:hAnsi="Arial" w:cs="Arial"/>
          <w:bCs/>
          <w:i/>
          <w:iCs/>
          <w:sz w:val="22"/>
          <w:szCs w:val="22"/>
        </w:rPr>
      </w:pPr>
    </w:p>
    <w:p w14:paraId="3B1DBED7" w14:textId="77777777" w:rsidR="00A20F38" w:rsidRDefault="00A20F38" w:rsidP="00090345">
      <w:pPr>
        <w:spacing w:before="120" w:line="288" w:lineRule="auto"/>
        <w:jc w:val="both"/>
        <w:rPr>
          <w:rFonts w:ascii="Arial" w:eastAsia="Arial" w:hAnsi="Arial" w:cs="Arial"/>
          <w:bCs/>
          <w:i/>
          <w:iCs/>
          <w:sz w:val="22"/>
          <w:szCs w:val="22"/>
        </w:rPr>
      </w:pPr>
    </w:p>
    <w:p w14:paraId="3AE9D7E8" w14:textId="5F16865F" w:rsidR="0095341D" w:rsidRDefault="0095341D" w:rsidP="00090345">
      <w:pPr>
        <w:spacing w:before="120" w:line="288" w:lineRule="auto"/>
        <w:jc w:val="both"/>
        <w:rPr>
          <w:rFonts w:ascii="Arial" w:eastAsia="Arial" w:hAnsi="Arial" w:cs="Arial"/>
          <w:b/>
          <w:bCs/>
          <w:sz w:val="22"/>
          <w:szCs w:val="22"/>
        </w:rPr>
      </w:pPr>
      <w:r>
        <w:rPr>
          <w:rFonts w:ascii="Arial" w:eastAsia="Arial" w:hAnsi="Arial" w:cs="Arial"/>
          <w:b/>
          <w:bCs/>
          <w:sz w:val="22"/>
          <w:szCs w:val="22"/>
        </w:rPr>
        <w:t>Tecnología, Financiero e inmobiliario</w:t>
      </w:r>
      <w:r w:rsidR="0021069A">
        <w:rPr>
          <w:rFonts w:ascii="Arial" w:eastAsia="Arial" w:hAnsi="Arial" w:cs="Arial"/>
          <w:b/>
          <w:bCs/>
          <w:sz w:val="22"/>
          <w:szCs w:val="22"/>
        </w:rPr>
        <w:t>,</w:t>
      </w:r>
      <w:r>
        <w:rPr>
          <w:rFonts w:ascii="Arial" w:eastAsia="Arial" w:hAnsi="Arial" w:cs="Arial"/>
          <w:b/>
          <w:bCs/>
          <w:sz w:val="22"/>
          <w:szCs w:val="22"/>
        </w:rPr>
        <w:t xml:space="preserve"> y </w:t>
      </w:r>
      <w:r w:rsidR="0021069A">
        <w:rPr>
          <w:rFonts w:ascii="Arial" w:eastAsia="Arial" w:hAnsi="Arial" w:cs="Arial"/>
          <w:b/>
          <w:bCs/>
          <w:sz w:val="22"/>
          <w:szCs w:val="22"/>
        </w:rPr>
        <w:t>Energía y suministros, los sectores más optimistas en sus previsiones netas de contratación</w:t>
      </w:r>
    </w:p>
    <w:p w14:paraId="419683F9" w14:textId="7A3F9BC6" w:rsidR="00331310" w:rsidRDefault="00331310" w:rsidP="00331310">
      <w:pPr>
        <w:spacing w:before="120" w:line="288" w:lineRule="auto"/>
        <w:jc w:val="both"/>
        <w:rPr>
          <w:rFonts w:ascii="Arial" w:eastAsia="Arial" w:hAnsi="Arial" w:cs="Arial"/>
          <w:bCs/>
          <w:sz w:val="22"/>
          <w:szCs w:val="22"/>
        </w:rPr>
      </w:pPr>
      <w:r>
        <w:rPr>
          <w:rFonts w:ascii="Arial" w:eastAsia="Arial" w:hAnsi="Arial" w:cs="Arial"/>
          <w:bCs/>
          <w:sz w:val="22"/>
          <w:szCs w:val="22"/>
        </w:rPr>
        <w:t>L</w:t>
      </w:r>
      <w:r w:rsidR="0021069A">
        <w:rPr>
          <w:rFonts w:ascii="Arial" w:eastAsia="Arial" w:hAnsi="Arial" w:cs="Arial"/>
          <w:bCs/>
          <w:sz w:val="22"/>
          <w:szCs w:val="22"/>
        </w:rPr>
        <w:t xml:space="preserve">os 9 sectores </w:t>
      </w:r>
      <w:r w:rsidR="00DA2D0A">
        <w:rPr>
          <w:rFonts w:ascii="Arial" w:eastAsia="Arial" w:hAnsi="Arial" w:cs="Arial"/>
          <w:bCs/>
          <w:sz w:val="22"/>
          <w:szCs w:val="22"/>
        </w:rPr>
        <w:t xml:space="preserve">de actividad </w:t>
      </w:r>
      <w:r w:rsidR="0021069A">
        <w:rPr>
          <w:rFonts w:ascii="Arial" w:eastAsia="Arial" w:hAnsi="Arial" w:cs="Arial"/>
          <w:bCs/>
          <w:sz w:val="22"/>
          <w:szCs w:val="22"/>
        </w:rPr>
        <w:t xml:space="preserve">analizados por </w:t>
      </w:r>
      <w:r>
        <w:rPr>
          <w:rFonts w:ascii="Arial" w:eastAsia="Arial" w:hAnsi="Arial" w:cs="Arial"/>
          <w:bCs/>
          <w:sz w:val="22"/>
          <w:szCs w:val="22"/>
        </w:rPr>
        <w:t xml:space="preserve">este estudio de </w:t>
      </w:r>
      <w:r w:rsidR="0021069A">
        <w:rPr>
          <w:rFonts w:ascii="Arial" w:eastAsia="Arial" w:hAnsi="Arial" w:cs="Arial"/>
          <w:bCs/>
          <w:sz w:val="22"/>
          <w:szCs w:val="22"/>
        </w:rPr>
        <w:t xml:space="preserve">ManpowerGroup </w:t>
      </w:r>
      <w:r>
        <w:rPr>
          <w:rFonts w:ascii="Arial" w:eastAsia="Arial" w:hAnsi="Arial" w:cs="Arial"/>
          <w:bCs/>
          <w:sz w:val="22"/>
          <w:szCs w:val="22"/>
        </w:rPr>
        <w:t>presentan previsiones positivas</w:t>
      </w:r>
      <w:r w:rsidR="0021069A">
        <w:rPr>
          <w:rFonts w:ascii="Arial" w:eastAsia="Arial" w:hAnsi="Arial" w:cs="Arial"/>
          <w:bCs/>
          <w:sz w:val="22"/>
          <w:szCs w:val="22"/>
        </w:rPr>
        <w:t xml:space="preserve"> </w:t>
      </w:r>
      <w:r w:rsidR="00A20F38">
        <w:rPr>
          <w:rFonts w:ascii="Arial" w:eastAsia="Arial" w:hAnsi="Arial" w:cs="Arial"/>
          <w:bCs/>
          <w:sz w:val="22"/>
          <w:szCs w:val="22"/>
        </w:rPr>
        <w:t xml:space="preserve">de cara a la generación de empleo para </w:t>
      </w:r>
      <w:r w:rsidR="0021069A">
        <w:rPr>
          <w:rFonts w:ascii="Arial" w:eastAsia="Arial" w:hAnsi="Arial" w:cs="Arial"/>
          <w:bCs/>
          <w:sz w:val="22"/>
          <w:szCs w:val="22"/>
        </w:rPr>
        <w:t xml:space="preserve">los meses de abril </w:t>
      </w:r>
      <w:r w:rsidR="00A20F38">
        <w:rPr>
          <w:rFonts w:ascii="Arial" w:eastAsia="Arial" w:hAnsi="Arial" w:cs="Arial"/>
          <w:bCs/>
          <w:sz w:val="22"/>
          <w:szCs w:val="22"/>
        </w:rPr>
        <w:t>a</w:t>
      </w:r>
      <w:r w:rsidR="0021069A">
        <w:rPr>
          <w:rFonts w:ascii="Arial" w:eastAsia="Arial" w:hAnsi="Arial" w:cs="Arial"/>
          <w:bCs/>
          <w:sz w:val="22"/>
          <w:szCs w:val="22"/>
        </w:rPr>
        <w:t xml:space="preserve"> junio</w:t>
      </w:r>
      <w:r>
        <w:rPr>
          <w:rFonts w:ascii="Arial" w:eastAsia="Arial" w:hAnsi="Arial" w:cs="Arial"/>
          <w:bCs/>
          <w:sz w:val="22"/>
          <w:szCs w:val="22"/>
        </w:rPr>
        <w:t xml:space="preserve">. Al igual que en el trimestre anterior, </w:t>
      </w:r>
      <w:r w:rsidRPr="001E7292">
        <w:rPr>
          <w:rFonts w:ascii="Arial" w:eastAsia="Arial" w:hAnsi="Arial" w:cs="Arial"/>
          <w:b/>
          <w:sz w:val="22"/>
          <w:szCs w:val="22"/>
        </w:rPr>
        <w:t xml:space="preserve">Tecnología se </w:t>
      </w:r>
      <w:r w:rsidR="00DA2D0A">
        <w:rPr>
          <w:rFonts w:ascii="Arial" w:eastAsia="Arial" w:hAnsi="Arial" w:cs="Arial"/>
          <w:b/>
          <w:sz w:val="22"/>
          <w:szCs w:val="22"/>
        </w:rPr>
        <w:t xml:space="preserve">coloca </w:t>
      </w:r>
      <w:r w:rsidRPr="001E7292">
        <w:rPr>
          <w:rFonts w:ascii="Arial" w:eastAsia="Arial" w:hAnsi="Arial" w:cs="Arial"/>
          <w:b/>
          <w:sz w:val="22"/>
          <w:szCs w:val="22"/>
        </w:rPr>
        <w:t xml:space="preserve">como </w:t>
      </w:r>
      <w:r w:rsidR="00A20F38">
        <w:rPr>
          <w:rFonts w:ascii="Arial" w:eastAsia="Arial" w:hAnsi="Arial" w:cs="Arial"/>
          <w:b/>
          <w:sz w:val="22"/>
          <w:szCs w:val="22"/>
        </w:rPr>
        <w:t xml:space="preserve">la industria </w:t>
      </w:r>
      <w:r w:rsidRPr="001E7292">
        <w:rPr>
          <w:rFonts w:ascii="Arial" w:eastAsia="Arial" w:hAnsi="Arial" w:cs="Arial"/>
          <w:b/>
          <w:sz w:val="22"/>
          <w:szCs w:val="22"/>
        </w:rPr>
        <w:t>más optimista, con una proyección neta del 34%</w:t>
      </w:r>
      <w:r>
        <w:rPr>
          <w:rFonts w:ascii="Arial" w:eastAsia="Arial" w:hAnsi="Arial" w:cs="Arial"/>
          <w:bCs/>
          <w:sz w:val="22"/>
          <w:szCs w:val="22"/>
        </w:rPr>
        <w:t>. Una cifra que se encuentra 3 puntos por encima de la registrada en los tres meses anteriores, y que supone un crecimiento de 17 puntos en la comparativa interanual.</w:t>
      </w:r>
    </w:p>
    <w:p w14:paraId="1BAE10A7" w14:textId="77777777" w:rsidR="006E3A61" w:rsidRDefault="006E3A61" w:rsidP="006E3A61">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segundo lugar, se encuentra </w:t>
      </w:r>
      <w:r w:rsidRPr="001E7292">
        <w:rPr>
          <w:rFonts w:ascii="Arial" w:eastAsia="Arial" w:hAnsi="Arial" w:cs="Arial"/>
          <w:b/>
          <w:sz w:val="22"/>
          <w:szCs w:val="22"/>
        </w:rPr>
        <w:t>Financiero e inmobiliario</w:t>
      </w:r>
      <w:r>
        <w:rPr>
          <w:rFonts w:ascii="Arial" w:eastAsia="Arial" w:hAnsi="Arial" w:cs="Arial"/>
          <w:bCs/>
          <w:sz w:val="22"/>
          <w:szCs w:val="22"/>
        </w:rPr>
        <w:t xml:space="preserve">, con un aumento </w:t>
      </w:r>
      <w:proofErr w:type="spellStart"/>
      <w:r>
        <w:rPr>
          <w:rFonts w:ascii="Arial" w:eastAsia="Arial" w:hAnsi="Arial" w:cs="Arial"/>
          <w:bCs/>
          <w:sz w:val="22"/>
          <w:szCs w:val="22"/>
        </w:rPr>
        <w:t>intertrimestral</w:t>
      </w:r>
      <w:proofErr w:type="spellEnd"/>
      <w:r>
        <w:rPr>
          <w:rFonts w:ascii="Arial" w:eastAsia="Arial" w:hAnsi="Arial" w:cs="Arial"/>
          <w:bCs/>
          <w:sz w:val="22"/>
          <w:szCs w:val="22"/>
        </w:rPr>
        <w:t xml:space="preserve"> de 1 punto, hasta situarse en el 24% y que, respecto al mismo periodo del año anterior, experimentó un incremento de 15 puntos. La tercera posición la ocupa </w:t>
      </w:r>
      <w:r w:rsidRPr="001E7292">
        <w:rPr>
          <w:rFonts w:ascii="Arial" w:eastAsia="Arial" w:hAnsi="Arial" w:cs="Arial"/>
          <w:b/>
          <w:sz w:val="22"/>
          <w:szCs w:val="22"/>
        </w:rPr>
        <w:t>Energía y suministros</w:t>
      </w:r>
      <w:r>
        <w:rPr>
          <w:rFonts w:ascii="Arial" w:eastAsia="Arial" w:hAnsi="Arial" w:cs="Arial"/>
          <w:bCs/>
          <w:sz w:val="22"/>
          <w:szCs w:val="22"/>
        </w:rPr>
        <w:t>, con una previsión neta del 20%</w:t>
      </w:r>
      <w:r w:rsidRPr="00DA2D0A">
        <w:rPr>
          <w:rFonts w:ascii="Arial" w:eastAsia="Arial" w:hAnsi="Arial" w:cs="Arial"/>
          <w:bCs/>
          <w:sz w:val="22"/>
          <w:szCs w:val="22"/>
        </w:rPr>
        <w:t>, una cifra que se mantiene respecto al año anterior y que supone un incremento de 2 puntos</w:t>
      </w:r>
      <w:r>
        <w:rPr>
          <w:rFonts w:ascii="Arial" w:eastAsia="Arial" w:hAnsi="Arial" w:cs="Arial"/>
          <w:bCs/>
          <w:sz w:val="22"/>
          <w:szCs w:val="22"/>
        </w:rPr>
        <w:t xml:space="preserve"> frente al trimestre previo</w:t>
      </w:r>
      <w:r w:rsidRPr="00DA2D0A">
        <w:rPr>
          <w:rFonts w:ascii="Arial" w:eastAsia="Arial" w:hAnsi="Arial" w:cs="Arial"/>
          <w:bCs/>
          <w:sz w:val="22"/>
          <w:szCs w:val="22"/>
        </w:rPr>
        <w:t>.</w:t>
      </w:r>
    </w:p>
    <w:p w14:paraId="3FEF9073" w14:textId="69B5F1BC" w:rsidR="0021069A" w:rsidRDefault="00331310" w:rsidP="00090345">
      <w:pPr>
        <w:spacing w:before="120" w:line="288" w:lineRule="auto"/>
        <w:jc w:val="both"/>
        <w:rPr>
          <w:rFonts w:ascii="Arial" w:eastAsia="Arial" w:hAnsi="Arial" w:cs="Arial"/>
          <w:bCs/>
          <w:sz w:val="22"/>
          <w:szCs w:val="22"/>
        </w:rPr>
      </w:pPr>
      <w:r>
        <w:rPr>
          <w:rFonts w:ascii="Arial" w:eastAsia="Arial" w:hAnsi="Arial" w:cs="Arial"/>
          <w:bCs/>
          <w:sz w:val="22"/>
          <w:szCs w:val="22"/>
        </w:rPr>
        <w:t>En el lado opuesto</w:t>
      </w:r>
      <w:r w:rsidR="00D8655C">
        <w:rPr>
          <w:rFonts w:ascii="Arial" w:eastAsia="Arial" w:hAnsi="Arial" w:cs="Arial"/>
          <w:bCs/>
          <w:sz w:val="22"/>
          <w:szCs w:val="22"/>
        </w:rPr>
        <w:t xml:space="preserve">, </w:t>
      </w:r>
      <w:r w:rsidR="00ED086E">
        <w:rPr>
          <w:rFonts w:ascii="Arial" w:eastAsia="Arial" w:hAnsi="Arial" w:cs="Arial"/>
          <w:bCs/>
          <w:sz w:val="22"/>
          <w:szCs w:val="22"/>
        </w:rPr>
        <w:t xml:space="preserve">tanto </w:t>
      </w:r>
      <w:r w:rsidR="00D8655C" w:rsidRPr="00DC55EB">
        <w:rPr>
          <w:rFonts w:ascii="Arial" w:eastAsia="Arial" w:hAnsi="Arial" w:cs="Arial"/>
          <w:b/>
          <w:sz w:val="22"/>
          <w:szCs w:val="22"/>
        </w:rPr>
        <w:t>Industria</w:t>
      </w:r>
      <w:r w:rsidR="00D8655C">
        <w:rPr>
          <w:rFonts w:ascii="Arial" w:eastAsia="Arial" w:hAnsi="Arial" w:cs="Arial"/>
          <w:bCs/>
          <w:sz w:val="22"/>
          <w:szCs w:val="22"/>
        </w:rPr>
        <w:t xml:space="preserve"> </w:t>
      </w:r>
      <w:r w:rsidR="00ED086E">
        <w:rPr>
          <w:rFonts w:ascii="Arial" w:eastAsia="Arial" w:hAnsi="Arial" w:cs="Arial"/>
          <w:bCs/>
          <w:sz w:val="22"/>
          <w:szCs w:val="22"/>
        </w:rPr>
        <w:t>como</w:t>
      </w:r>
      <w:r w:rsidR="00D8655C">
        <w:rPr>
          <w:rFonts w:ascii="Arial" w:eastAsia="Arial" w:hAnsi="Arial" w:cs="Arial"/>
          <w:bCs/>
          <w:sz w:val="22"/>
          <w:szCs w:val="22"/>
        </w:rPr>
        <w:t xml:space="preserve"> </w:t>
      </w:r>
      <w:r w:rsidR="00D8655C" w:rsidRPr="00DC55EB">
        <w:rPr>
          <w:rFonts w:ascii="Arial" w:eastAsia="Arial" w:hAnsi="Arial" w:cs="Arial"/>
          <w:b/>
          <w:sz w:val="22"/>
          <w:szCs w:val="22"/>
        </w:rPr>
        <w:t>Transporte, logística y automoción</w:t>
      </w:r>
      <w:r w:rsidR="00ED086E">
        <w:rPr>
          <w:rFonts w:ascii="Arial" w:eastAsia="Arial" w:hAnsi="Arial" w:cs="Arial"/>
          <w:bCs/>
          <w:sz w:val="22"/>
          <w:szCs w:val="22"/>
        </w:rPr>
        <w:t xml:space="preserve">, </w:t>
      </w:r>
      <w:r w:rsidR="00DC55EB">
        <w:rPr>
          <w:rFonts w:ascii="Arial" w:eastAsia="Arial" w:hAnsi="Arial" w:cs="Arial"/>
          <w:bCs/>
          <w:sz w:val="22"/>
          <w:szCs w:val="22"/>
        </w:rPr>
        <w:t xml:space="preserve">muestran </w:t>
      </w:r>
      <w:r w:rsidR="00ED086E">
        <w:rPr>
          <w:rFonts w:ascii="Arial" w:eastAsia="Arial" w:hAnsi="Arial" w:cs="Arial"/>
          <w:bCs/>
          <w:sz w:val="22"/>
          <w:szCs w:val="22"/>
        </w:rPr>
        <w:t xml:space="preserve">importantes </w:t>
      </w:r>
      <w:r w:rsidR="001E7292">
        <w:rPr>
          <w:rFonts w:ascii="Arial" w:eastAsia="Arial" w:hAnsi="Arial" w:cs="Arial"/>
          <w:bCs/>
          <w:sz w:val="22"/>
          <w:szCs w:val="22"/>
        </w:rPr>
        <w:t>descensos</w:t>
      </w:r>
      <w:r w:rsidR="00ED086E">
        <w:rPr>
          <w:rFonts w:ascii="Arial" w:eastAsia="Arial" w:hAnsi="Arial" w:cs="Arial"/>
          <w:bCs/>
          <w:sz w:val="22"/>
          <w:szCs w:val="22"/>
        </w:rPr>
        <w:t xml:space="preserve"> </w:t>
      </w:r>
      <w:proofErr w:type="spellStart"/>
      <w:r w:rsidR="00ED086E">
        <w:rPr>
          <w:rFonts w:ascii="Arial" w:eastAsia="Arial" w:hAnsi="Arial" w:cs="Arial"/>
          <w:bCs/>
          <w:sz w:val="22"/>
          <w:szCs w:val="22"/>
        </w:rPr>
        <w:t>intertrimestrales</w:t>
      </w:r>
      <w:proofErr w:type="spellEnd"/>
      <w:r w:rsidR="00ED086E">
        <w:rPr>
          <w:rFonts w:ascii="Arial" w:eastAsia="Arial" w:hAnsi="Arial" w:cs="Arial"/>
          <w:bCs/>
          <w:sz w:val="22"/>
          <w:szCs w:val="22"/>
        </w:rPr>
        <w:t>,</w:t>
      </w:r>
      <w:r>
        <w:rPr>
          <w:rFonts w:ascii="Arial" w:eastAsia="Arial" w:hAnsi="Arial" w:cs="Arial"/>
          <w:bCs/>
          <w:sz w:val="22"/>
          <w:szCs w:val="22"/>
        </w:rPr>
        <w:t xml:space="preserve"> aunque anticipan valores positivos</w:t>
      </w:r>
      <w:r w:rsidR="00DA2D0A">
        <w:rPr>
          <w:rFonts w:ascii="Arial" w:eastAsia="Arial" w:hAnsi="Arial" w:cs="Arial"/>
          <w:bCs/>
          <w:sz w:val="22"/>
          <w:szCs w:val="22"/>
        </w:rPr>
        <w:t xml:space="preserve"> del 2% y 3%, </w:t>
      </w:r>
      <w:r w:rsidR="006E3A61">
        <w:rPr>
          <w:rFonts w:ascii="Arial" w:eastAsia="Arial" w:hAnsi="Arial" w:cs="Arial"/>
          <w:bCs/>
          <w:sz w:val="22"/>
          <w:szCs w:val="22"/>
        </w:rPr>
        <w:t>respectivamente</w:t>
      </w:r>
      <w:r w:rsidR="001E7292">
        <w:rPr>
          <w:rFonts w:ascii="Arial" w:eastAsia="Arial" w:hAnsi="Arial" w:cs="Arial"/>
          <w:bCs/>
          <w:sz w:val="22"/>
          <w:szCs w:val="22"/>
        </w:rPr>
        <w:t>.</w:t>
      </w:r>
    </w:p>
    <w:p w14:paraId="441E993A" w14:textId="190F7461" w:rsidR="00204E64" w:rsidRPr="00190E3D" w:rsidRDefault="006E3A61" w:rsidP="00090345">
      <w:pPr>
        <w:spacing w:before="120" w:line="288" w:lineRule="auto"/>
        <w:jc w:val="both"/>
        <w:rPr>
          <w:rFonts w:ascii="Arial" w:eastAsia="Arial" w:hAnsi="Arial" w:cs="Arial"/>
          <w:bCs/>
          <w:sz w:val="22"/>
          <w:szCs w:val="22"/>
        </w:rPr>
      </w:pPr>
      <w:r>
        <w:rPr>
          <w:rFonts w:ascii="Arial" w:eastAsia="Arial" w:hAnsi="Arial" w:cs="Arial"/>
          <w:bCs/>
          <w:noProof/>
          <w:sz w:val="22"/>
          <w:szCs w:val="22"/>
        </w:rPr>
        <w:drawing>
          <wp:inline distT="0" distB="0" distL="0" distR="0" wp14:anchorId="00F077CC" wp14:editId="7F3B243E">
            <wp:extent cx="5882237" cy="1954937"/>
            <wp:effectExtent l="0" t="0" r="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3827" cy="1962112"/>
                    </a:xfrm>
                    <a:prstGeom prst="rect">
                      <a:avLst/>
                    </a:prstGeom>
                    <a:noFill/>
                  </pic:spPr>
                </pic:pic>
              </a:graphicData>
            </a:graphic>
          </wp:inline>
        </w:drawing>
      </w:r>
    </w:p>
    <w:p w14:paraId="19052327" w14:textId="574318E3" w:rsidR="00204E64" w:rsidRPr="00687087" w:rsidRDefault="00204E64" w:rsidP="00090345">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p w14:paraId="01A979BA" w14:textId="77777777" w:rsidR="00D44823" w:rsidRDefault="00D44823" w:rsidP="00090345">
      <w:pPr>
        <w:spacing w:before="120" w:line="288" w:lineRule="auto"/>
        <w:jc w:val="both"/>
        <w:rPr>
          <w:rFonts w:ascii="Arial" w:eastAsia="Arial" w:hAnsi="Arial" w:cs="Arial"/>
          <w:b/>
          <w:bCs/>
          <w:sz w:val="22"/>
          <w:szCs w:val="22"/>
        </w:rPr>
      </w:pPr>
    </w:p>
    <w:p w14:paraId="02DBB1F8" w14:textId="3C76CE33" w:rsidR="006E6724" w:rsidRPr="00204E64" w:rsidRDefault="00331310" w:rsidP="00090345">
      <w:pPr>
        <w:spacing w:before="120" w:line="288" w:lineRule="auto"/>
        <w:jc w:val="both"/>
        <w:rPr>
          <w:rFonts w:ascii="Arial" w:eastAsia="Arial" w:hAnsi="Arial" w:cs="Arial"/>
          <w:b/>
          <w:bCs/>
          <w:sz w:val="22"/>
          <w:szCs w:val="22"/>
        </w:rPr>
      </w:pPr>
      <w:r>
        <w:rPr>
          <w:rFonts w:ascii="Arial" w:eastAsia="Arial" w:hAnsi="Arial" w:cs="Arial"/>
          <w:b/>
          <w:bCs/>
          <w:sz w:val="22"/>
          <w:szCs w:val="22"/>
        </w:rPr>
        <w:t>Todas l</w:t>
      </w:r>
      <w:r w:rsidR="00D76407">
        <w:rPr>
          <w:rFonts w:ascii="Arial" w:eastAsia="Arial" w:hAnsi="Arial" w:cs="Arial"/>
          <w:b/>
          <w:bCs/>
          <w:sz w:val="22"/>
          <w:szCs w:val="22"/>
        </w:rPr>
        <w:t xml:space="preserve">as zonas </w:t>
      </w:r>
      <w:r>
        <w:rPr>
          <w:rFonts w:ascii="Arial" w:eastAsia="Arial" w:hAnsi="Arial" w:cs="Arial"/>
          <w:b/>
          <w:bCs/>
          <w:sz w:val="22"/>
          <w:szCs w:val="22"/>
        </w:rPr>
        <w:t>en positivo, a pesar de los retrocesos</w:t>
      </w:r>
    </w:p>
    <w:p w14:paraId="10BA37DB" w14:textId="68743DB1" w:rsidR="00EB11D6" w:rsidRDefault="007A0CED" w:rsidP="00090345">
      <w:pPr>
        <w:spacing w:before="120" w:line="288" w:lineRule="auto"/>
        <w:jc w:val="both"/>
        <w:rPr>
          <w:rFonts w:ascii="Arial" w:eastAsia="Arial" w:hAnsi="Arial" w:cs="Arial"/>
          <w:sz w:val="22"/>
          <w:szCs w:val="22"/>
        </w:rPr>
      </w:pPr>
      <w:r w:rsidRPr="00BB1D12">
        <w:rPr>
          <w:rFonts w:ascii="Arial" w:eastAsia="Arial" w:hAnsi="Arial" w:cs="Arial"/>
          <w:bCs/>
          <w:sz w:val="22"/>
          <w:szCs w:val="22"/>
        </w:rPr>
        <w:t>L</w:t>
      </w:r>
      <w:r>
        <w:rPr>
          <w:rFonts w:ascii="Arial" w:eastAsia="Arial" w:hAnsi="Arial" w:cs="Arial"/>
          <w:bCs/>
          <w:sz w:val="22"/>
          <w:szCs w:val="22"/>
        </w:rPr>
        <w:t>ideran las expectativa</w:t>
      </w:r>
      <w:r w:rsidRPr="00BB1D12">
        <w:rPr>
          <w:rFonts w:ascii="Arial" w:eastAsia="Arial" w:hAnsi="Arial" w:cs="Arial"/>
          <w:bCs/>
          <w:sz w:val="22"/>
          <w:szCs w:val="22"/>
        </w:rPr>
        <w:t xml:space="preserve">s </w:t>
      </w:r>
      <w:r>
        <w:rPr>
          <w:rFonts w:ascii="Arial" w:eastAsia="Arial" w:hAnsi="Arial" w:cs="Arial"/>
          <w:bCs/>
          <w:sz w:val="22"/>
          <w:szCs w:val="22"/>
        </w:rPr>
        <w:t>l</w:t>
      </w:r>
      <w:r w:rsidR="00EB11D6">
        <w:rPr>
          <w:rFonts w:ascii="Arial" w:eastAsia="Arial" w:hAnsi="Arial" w:cs="Arial"/>
          <w:sz w:val="22"/>
          <w:szCs w:val="22"/>
        </w:rPr>
        <w:t xml:space="preserve">as zonas de </w:t>
      </w:r>
      <w:r w:rsidR="00EB11D6" w:rsidRPr="00204E64">
        <w:rPr>
          <w:rFonts w:ascii="Arial" w:eastAsia="Arial" w:hAnsi="Arial" w:cs="Arial"/>
          <w:b/>
          <w:bCs/>
          <w:sz w:val="22"/>
          <w:szCs w:val="22"/>
        </w:rPr>
        <w:t>Levante (Comunidad Valenciana y Región de Murcia)</w:t>
      </w:r>
      <w:r w:rsidR="00DC55EB" w:rsidRPr="00E909F9">
        <w:rPr>
          <w:rFonts w:ascii="Arial" w:eastAsia="Arial" w:hAnsi="Arial" w:cs="Arial"/>
          <w:sz w:val="22"/>
          <w:szCs w:val="22"/>
        </w:rPr>
        <w:t>,</w:t>
      </w:r>
      <w:r w:rsidR="00331310" w:rsidRPr="00E909F9">
        <w:rPr>
          <w:rFonts w:ascii="Arial" w:eastAsia="Arial" w:hAnsi="Arial" w:cs="Arial"/>
          <w:sz w:val="22"/>
          <w:szCs w:val="22"/>
        </w:rPr>
        <w:t xml:space="preserve"> con un 17%</w:t>
      </w:r>
      <w:r w:rsidR="00EB11D6" w:rsidRPr="00E909F9">
        <w:rPr>
          <w:rFonts w:ascii="Arial" w:eastAsia="Arial" w:hAnsi="Arial" w:cs="Arial"/>
          <w:sz w:val="22"/>
          <w:szCs w:val="22"/>
        </w:rPr>
        <w:t>,</w:t>
      </w:r>
      <w:r w:rsidR="00DC55EB">
        <w:rPr>
          <w:rFonts w:ascii="Arial" w:eastAsia="Arial" w:hAnsi="Arial" w:cs="Arial"/>
          <w:b/>
          <w:bCs/>
          <w:sz w:val="22"/>
          <w:szCs w:val="22"/>
        </w:rPr>
        <w:t xml:space="preserve"> y</w:t>
      </w:r>
      <w:r w:rsidR="00EB11D6">
        <w:rPr>
          <w:rFonts w:ascii="Arial" w:eastAsia="Arial" w:hAnsi="Arial" w:cs="Arial"/>
          <w:b/>
          <w:bCs/>
          <w:sz w:val="22"/>
          <w:szCs w:val="22"/>
        </w:rPr>
        <w:t xml:space="preserve"> </w:t>
      </w:r>
      <w:r w:rsidR="00E909F9">
        <w:rPr>
          <w:rFonts w:ascii="Arial" w:eastAsia="Arial" w:hAnsi="Arial" w:cs="Arial"/>
          <w:b/>
          <w:sz w:val="22"/>
          <w:szCs w:val="22"/>
        </w:rPr>
        <w:t>Sur (Andalucía, Extremadura y Canarias)</w:t>
      </w:r>
      <w:r w:rsidR="00E909F9">
        <w:rPr>
          <w:rFonts w:ascii="Arial" w:eastAsia="Arial" w:hAnsi="Arial" w:cs="Arial"/>
          <w:bCs/>
          <w:sz w:val="22"/>
          <w:szCs w:val="22"/>
        </w:rPr>
        <w:t xml:space="preserve">, con un 14%. Les siguen </w:t>
      </w:r>
      <w:r w:rsidR="00EB11D6">
        <w:rPr>
          <w:rFonts w:ascii="Arial" w:eastAsia="Arial" w:hAnsi="Arial" w:cs="Arial"/>
          <w:b/>
          <w:bCs/>
          <w:sz w:val="22"/>
          <w:szCs w:val="22"/>
        </w:rPr>
        <w:t>Noreste (</w:t>
      </w:r>
      <w:r w:rsidR="00EB11D6" w:rsidRPr="00204E64">
        <w:rPr>
          <w:rFonts w:ascii="Arial" w:eastAsia="Arial" w:hAnsi="Arial" w:cs="Arial"/>
          <w:b/>
          <w:bCs/>
          <w:sz w:val="22"/>
          <w:szCs w:val="22"/>
        </w:rPr>
        <w:t>Cataluña y Baleares</w:t>
      </w:r>
      <w:r w:rsidR="00EB11D6">
        <w:rPr>
          <w:rFonts w:ascii="Arial" w:eastAsia="Arial" w:hAnsi="Arial" w:cs="Arial"/>
          <w:b/>
          <w:bCs/>
          <w:sz w:val="22"/>
          <w:szCs w:val="22"/>
        </w:rPr>
        <w:t xml:space="preserve">) y Centro </w:t>
      </w:r>
      <w:r w:rsidR="00EB11D6" w:rsidRPr="00AF223E">
        <w:rPr>
          <w:rFonts w:ascii="Arial" w:eastAsia="Arial" w:hAnsi="Arial" w:cs="Arial"/>
          <w:b/>
          <w:bCs/>
          <w:sz w:val="22"/>
          <w:szCs w:val="22"/>
        </w:rPr>
        <w:t>(Comunidad de Madrid y Castilla-La Mancha)</w:t>
      </w:r>
      <w:r w:rsidR="00331310">
        <w:rPr>
          <w:rFonts w:ascii="Arial" w:eastAsia="Arial" w:hAnsi="Arial" w:cs="Arial"/>
          <w:b/>
          <w:bCs/>
          <w:sz w:val="22"/>
          <w:szCs w:val="22"/>
        </w:rPr>
        <w:t>, ambas con un 13%</w:t>
      </w:r>
      <w:r w:rsidR="00E909F9">
        <w:rPr>
          <w:rFonts w:ascii="Arial" w:eastAsia="Arial" w:hAnsi="Arial" w:cs="Arial"/>
          <w:b/>
          <w:bCs/>
          <w:sz w:val="22"/>
          <w:szCs w:val="22"/>
        </w:rPr>
        <w:t xml:space="preserve">. </w:t>
      </w:r>
      <w:r w:rsidR="00E909F9" w:rsidRPr="00E909F9">
        <w:rPr>
          <w:rFonts w:ascii="Arial" w:eastAsia="Arial" w:hAnsi="Arial" w:cs="Arial"/>
          <w:sz w:val="22"/>
          <w:szCs w:val="22"/>
        </w:rPr>
        <w:t>No obstante</w:t>
      </w:r>
      <w:r w:rsidR="00E909F9">
        <w:rPr>
          <w:rFonts w:ascii="Arial" w:eastAsia="Arial" w:hAnsi="Arial" w:cs="Arial"/>
          <w:sz w:val="22"/>
          <w:szCs w:val="22"/>
        </w:rPr>
        <w:t>,</w:t>
      </w:r>
      <w:r w:rsidR="00EB11D6">
        <w:rPr>
          <w:rFonts w:ascii="Arial" w:eastAsia="Arial" w:hAnsi="Arial" w:cs="Arial"/>
          <w:sz w:val="22"/>
          <w:szCs w:val="22"/>
        </w:rPr>
        <w:t xml:space="preserve"> </w:t>
      </w:r>
      <w:r w:rsidR="00E909F9">
        <w:rPr>
          <w:rFonts w:ascii="Arial" w:eastAsia="Arial" w:hAnsi="Arial" w:cs="Arial"/>
          <w:sz w:val="22"/>
          <w:szCs w:val="22"/>
        </w:rPr>
        <w:t xml:space="preserve">todas ellas registran </w:t>
      </w:r>
      <w:r w:rsidR="00DC55EB">
        <w:rPr>
          <w:rFonts w:ascii="Arial" w:eastAsia="Arial" w:hAnsi="Arial" w:cs="Arial"/>
          <w:sz w:val="22"/>
          <w:szCs w:val="22"/>
        </w:rPr>
        <w:t xml:space="preserve">retrocesos </w:t>
      </w:r>
      <w:proofErr w:type="spellStart"/>
      <w:r w:rsidR="00EB11D6">
        <w:rPr>
          <w:rFonts w:ascii="Arial" w:eastAsia="Arial" w:hAnsi="Arial" w:cs="Arial"/>
          <w:sz w:val="22"/>
          <w:szCs w:val="22"/>
        </w:rPr>
        <w:t>intertrimestrales</w:t>
      </w:r>
      <w:proofErr w:type="spellEnd"/>
      <w:r w:rsidR="00EB11D6">
        <w:rPr>
          <w:rFonts w:ascii="Arial" w:eastAsia="Arial" w:hAnsi="Arial" w:cs="Arial"/>
          <w:sz w:val="22"/>
          <w:szCs w:val="22"/>
        </w:rPr>
        <w:t xml:space="preserve"> en sus previsiones (3, </w:t>
      </w:r>
      <w:r w:rsidR="00E909F9">
        <w:rPr>
          <w:rFonts w:ascii="Arial" w:eastAsia="Arial" w:hAnsi="Arial" w:cs="Arial"/>
          <w:sz w:val="22"/>
          <w:szCs w:val="22"/>
        </w:rPr>
        <w:t>2, 7</w:t>
      </w:r>
      <w:r w:rsidR="00EB11D6">
        <w:rPr>
          <w:rFonts w:ascii="Arial" w:eastAsia="Arial" w:hAnsi="Arial" w:cs="Arial"/>
          <w:sz w:val="22"/>
          <w:szCs w:val="22"/>
        </w:rPr>
        <w:t xml:space="preserve"> y 5 puntos, respectivamente).</w:t>
      </w:r>
    </w:p>
    <w:p w14:paraId="47DE5D91" w14:textId="4B49F40D" w:rsidR="00E909F9" w:rsidRPr="00D76407" w:rsidRDefault="00E909F9" w:rsidP="00E909F9">
      <w:pPr>
        <w:spacing w:before="120" w:line="288" w:lineRule="auto"/>
        <w:jc w:val="both"/>
        <w:rPr>
          <w:rFonts w:ascii="Arial" w:eastAsia="Arial" w:hAnsi="Arial" w:cs="Arial"/>
          <w:sz w:val="22"/>
          <w:szCs w:val="22"/>
        </w:rPr>
      </w:pPr>
      <w:r>
        <w:rPr>
          <w:rFonts w:ascii="Arial" w:eastAsia="Arial" w:hAnsi="Arial" w:cs="Arial"/>
          <w:sz w:val="22"/>
          <w:szCs w:val="22"/>
        </w:rPr>
        <w:t xml:space="preserve">Tras éstas, </w:t>
      </w:r>
      <w:r>
        <w:rPr>
          <w:rFonts w:ascii="Arial" w:eastAsiaTheme="minorEastAsia" w:hAnsi="Arial" w:cs="Arial"/>
          <w:b/>
          <w:bCs/>
          <w:sz w:val="22"/>
          <w:szCs w:val="22"/>
          <w:lang w:eastAsia="zh-CN"/>
        </w:rPr>
        <w:t>Norte</w:t>
      </w:r>
      <w:r>
        <w:rPr>
          <w:rFonts w:ascii="Arial" w:eastAsiaTheme="minorEastAsia" w:hAnsi="Arial" w:cs="Arial"/>
          <w:sz w:val="22"/>
          <w:szCs w:val="22"/>
          <w:lang w:eastAsia="zh-CN"/>
        </w:rPr>
        <w:t xml:space="preserve"> </w:t>
      </w:r>
      <w:r>
        <w:rPr>
          <w:rFonts w:ascii="Arial" w:eastAsiaTheme="minorEastAsia" w:hAnsi="Arial" w:cs="Arial"/>
          <w:b/>
          <w:bCs/>
          <w:sz w:val="22"/>
          <w:szCs w:val="22"/>
          <w:lang w:eastAsia="zh-CN"/>
        </w:rPr>
        <w:t>(Aragón, Cantabria, La Rioja, Navarra y País Vasco)</w:t>
      </w:r>
      <w:r>
        <w:rPr>
          <w:rFonts w:ascii="Arial" w:eastAsiaTheme="minorEastAsia" w:hAnsi="Arial" w:cs="Arial"/>
          <w:sz w:val="22"/>
          <w:szCs w:val="22"/>
          <w:lang w:eastAsia="zh-CN"/>
        </w:rPr>
        <w:t xml:space="preserve">, </w:t>
      </w:r>
      <w:r>
        <w:rPr>
          <w:rFonts w:ascii="Arial" w:eastAsia="Arial" w:hAnsi="Arial" w:cs="Arial"/>
          <w:bCs/>
          <w:sz w:val="22"/>
          <w:szCs w:val="22"/>
        </w:rPr>
        <w:t xml:space="preserve">con unas previsiones del 10% y, por último, </w:t>
      </w:r>
      <w:r>
        <w:rPr>
          <w:rFonts w:ascii="Arial" w:eastAsia="Arial" w:hAnsi="Arial" w:cs="Arial"/>
          <w:b/>
          <w:bCs/>
          <w:sz w:val="22"/>
          <w:szCs w:val="22"/>
        </w:rPr>
        <w:t xml:space="preserve">Noroeste </w:t>
      </w:r>
      <w:r>
        <w:rPr>
          <w:rFonts w:ascii="Arial" w:eastAsiaTheme="minorEastAsia" w:hAnsi="Arial" w:cs="Arial"/>
          <w:b/>
          <w:bCs/>
          <w:sz w:val="22"/>
          <w:szCs w:val="22"/>
          <w:lang w:eastAsia="zh-CN"/>
        </w:rPr>
        <w:t>(Galicia, Principado de Asturias y Castilla y León)</w:t>
      </w:r>
      <w:r>
        <w:rPr>
          <w:rFonts w:ascii="Arial" w:eastAsiaTheme="minorEastAsia" w:hAnsi="Arial" w:cs="Arial"/>
          <w:sz w:val="22"/>
          <w:szCs w:val="22"/>
          <w:lang w:eastAsia="zh-CN"/>
        </w:rPr>
        <w:t xml:space="preserve"> que se deja 12 puntos respecto al primer trimestre y cierra en positivo, aunque con un prudente 3%.</w:t>
      </w:r>
    </w:p>
    <w:p w14:paraId="12E34957" w14:textId="77777777" w:rsidR="00331310" w:rsidRPr="00EB11D6" w:rsidRDefault="00331310" w:rsidP="00090345">
      <w:pPr>
        <w:spacing w:before="120" w:line="288" w:lineRule="auto"/>
        <w:jc w:val="both"/>
        <w:rPr>
          <w:rFonts w:ascii="Arial" w:eastAsia="Arial" w:hAnsi="Arial" w:cs="Arial"/>
          <w:sz w:val="22"/>
          <w:szCs w:val="22"/>
        </w:rPr>
      </w:pPr>
    </w:p>
    <w:p w14:paraId="23A27BD1" w14:textId="120BF611" w:rsidR="002F2E0A" w:rsidRDefault="00685895" w:rsidP="00090345">
      <w:pPr>
        <w:spacing w:before="120" w:line="288" w:lineRule="auto"/>
        <w:jc w:val="right"/>
        <w:rPr>
          <w:rFonts w:ascii="Arial" w:eastAsiaTheme="minorEastAsia" w:hAnsi="Arial" w:cs="Arial"/>
          <w:b/>
          <w:bCs/>
          <w:i/>
          <w:iCs/>
          <w:sz w:val="18"/>
          <w:szCs w:val="18"/>
          <w:lang w:eastAsia="zh-CN"/>
        </w:rPr>
      </w:pPr>
      <w:r>
        <w:rPr>
          <w:rFonts w:ascii="Arial" w:eastAsiaTheme="minorEastAsia" w:hAnsi="Arial" w:cs="Arial"/>
          <w:b/>
          <w:bCs/>
          <w:i/>
          <w:iCs/>
          <w:noProof/>
          <w:sz w:val="18"/>
          <w:szCs w:val="18"/>
          <w:lang w:eastAsia="zh-CN"/>
        </w:rPr>
        <w:drawing>
          <wp:inline distT="0" distB="0" distL="0" distR="0" wp14:anchorId="472E2B06" wp14:editId="6FEBAD9C">
            <wp:extent cx="5761281" cy="1952931"/>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5624" cy="1957793"/>
                    </a:xfrm>
                    <a:prstGeom prst="rect">
                      <a:avLst/>
                    </a:prstGeom>
                    <a:noFill/>
                  </pic:spPr>
                </pic:pic>
              </a:graphicData>
            </a:graphic>
          </wp:inline>
        </w:drawing>
      </w:r>
    </w:p>
    <w:p w14:paraId="75BF2141" w14:textId="2B74D78B" w:rsidR="002F2E0A" w:rsidRDefault="00731C5F" w:rsidP="00090345">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 xml:space="preserve">regiones y evolución </w:t>
      </w:r>
      <w:proofErr w:type="spellStart"/>
      <w:r>
        <w:rPr>
          <w:rFonts w:ascii="Arial" w:eastAsiaTheme="minorEastAsia" w:hAnsi="Arial" w:cs="Arial"/>
          <w:b/>
          <w:bCs/>
          <w:i/>
          <w:iCs/>
          <w:sz w:val="18"/>
          <w:szCs w:val="18"/>
          <w:lang w:eastAsia="zh-CN"/>
        </w:rPr>
        <w:t>intertrimestral</w:t>
      </w:r>
      <w:proofErr w:type="spellEnd"/>
    </w:p>
    <w:bookmarkEnd w:id="5"/>
    <w:p w14:paraId="290F37DA" w14:textId="77777777" w:rsidR="00E909F9" w:rsidRDefault="00E909F9" w:rsidP="00090345">
      <w:pPr>
        <w:spacing w:before="120" w:line="288" w:lineRule="auto"/>
        <w:jc w:val="both"/>
        <w:rPr>
          <w:rFonts w:ascii="Arial" w:eastAsiaTheme="minorEastAsia" w:hAnsi="Arial" w:cs="Arial"/>
          <w:b/>
          <w:bCs/>
          <w:sz w:val="22"/>
          <w:szCs w:val="22"/>
          <w:lang w:eastAsia="zh-CN"/>
        </w:rPr>
      </w:pPr>
    </w:p>
    <w:p w14:paraId="4FEED6A1" w14:textId="568E3835" w:rsidR="00D3343D" w:rsidRPr="00204E64" w:rsidRDefault="00824B8D" w:rsidP="00090345">
      <w:pPr>
        <w:spacing w:before="120" w:line="288" w:lineRule="auto"/>
        <w:jc w:val="both"/>
        <w:rPr>
          <w:rFonts w:ascii="Arial" w:eastAsiaTheme="minorEastAsia" w:hAnsi="Arial" w:cs="Arial"/>
          <w:b/>
          <w:bCs/>
          <w:sz w:val="22"/>
          <w:szCs w:val="22"/>
          <w:lang w:eastAsia="zh-CN"/>
        </w:rPr>
      </w:pPr>
      <w:r>
        <w:rPr>
          <w:rFonts w:ascii="Arial" w:eastAsiaTheme="minorEastAsia" w:hAnsi="Arial" w:cs="Arial"/>
          <w:b/>
          <w:bCs/>
          <w:sz w:val="22"/>
          <w:szCs w:val="22"/>
          <w:lang w:eastAsia="zh-CN"/>
        </w:rPr>
        <w:t xml:space="preserve">Las compañías de más de 5.000 empleados y las pequeñas empresas, </w:t>
      </w:r>
      <w:r w:rsidR="00D44823">
        <w:rPr>
          <w:rFonts w:ascii="Arial" w:eastAsiaTheme="minorEastAsia" w:hAnsi="Arial" w:cs="Arial"/>
          <w:b/>
          <w:bCs/>
          <w:sz w:val="22"/>
          <w:szCs w:val="22"/>
          <w:lang w:eastAsia="zh-CN"/>
        </w:rPr>
        <w:t>lideran</w:t>
      </w:r>
      <w:r>
        <w:rPr>
          <w:rFonts w:ascii="Arial" w:eastAsiaTheme="minorEastAsia" w:hAnsi="Arial" w:cs="Arial"/>
          <w:b/>
          <w:bCs/>
          <w:sz w:val="22"/>
          <w:szCs w:val="22"/>
          <w:lang w:eastAsia="zh-CN"/>
        </w:rPr>
        <w:t xml:space="preserve"> las previsiones de generación de empleo</w:t>
      </w:r>
    </w:p>
    <w:p w14:paraId="632D6E7C" w14:textId="789B26F2" w:rsidR="000D6AB6" w:rsidRDefault="00D76407" w:rsidP="00090345">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 xml:space="preserve">Tal y como sucede en el análisis regional, se detecta una moderación generalizada en las previsiones de generación de empleo según el tamaño de las organizaciones. </w:t>
      </w:r>
      <w:r w:rsidR="001A332D">
        <w:rPr>
          <w:rFonts w:ascii="Arial" w:eastAsiaTheme="minorEastAsia" w:hAnsi="Arial" w:cs="Arial"/>
          <w:sz w:val="22"/>
          <w:szCs w:val="22"/>
          <w:lang w:eastAsia="zh-CN"/>
        </w:rPr>
        <w:t>Así, y en comparación con los tres meses anteriores, las expectativas solo aumentan en</w:t>
      </w:r>
      <w:r>
        <w:rPr>
          <w:rFonts w:ascii="Arial" w:eastAsiaTheme="minorEastAsia" w:hAnsi="Arial" w:cs="Arial"/>
          <w:sz w:val="22"/>
          <w:szCs w:val="22"/>
          <w:lang w:eastAsia="zh-CN"/>
        </w:rPr>
        <w:t xml:space="preserve"> las </w:t>
      </w:r>
      <w:r w:rsidRPr="000D6AB6">
        <w:rPr>
          <w:rFonts w:ascii="Arial" w:eastAsiaTheme="minorEastAsia" w:hAnsi="Arial" w:cs="Arial"/>
          <w:b/>
          <w:bCs/>
          <w:sz w:val="22"/>
          <w:szCs w:val="22"/>
          <w:lang w:eastAsia="zh-CN"/>
        </w:rPr>
        <w:t>compañías con más de 5</w:t>
      </w:r>
      <w:r w:rsidR="000D6AB6">
        <w:rPr>
          <w:rFonts w:ascii="Arial" w:eastAsiaTheme="minorEastAsia" w:hAnsi="Arial" w:cs="Arial"/>
          <w:b/>
          <w:bCs/>
          <w:sz w:val="22"/>
          <w:szCs w:val="22"/>
          <w:lang w:eastAsia="zh-CN"/>
        </w:rPr>
        <w:t>.</w:t>
      </w:r>
      <w:r w:rsidRPr="000D6AB6">
        <w:rPr>
          <w:rFonts w:ascii="Arial" w:eastAsiaTheme="minorEastAsia" w:hAnsi="Arial" w:cs="Arial"/>
          <w:b/>
          <w:bCs/>
          <w:sz w:val="22"/>
          <w:szCs w:val="22"/>
          <w:lang w:eastAsia="zh-CN"/>
        </w:rPr>
        <w:t>000 empleados</w:t>
      </w:r>
      <w:r>
        <w:rPr>
          <w:rFonts w:ascii="Arial" w:eastAsiaTheme="minorEastAsia" w:hAnsi="Arial" w:cs="Arial"/>
          <w:sz w:val="22"/>
          <w:szCs w:val="22"/>
          <w:lang w:eastAsia="zh-CN"/>
        </w:rPr>
        <w:t xml:space="preserve"> y las </w:t>
      </w:r>
      <w:r w:rsidRPr="000D6AB6">
        <w:rPr>
          <w:rFonts w:ascii="Arial" w:eastAsiaTheme="minorEastAsia" w:hAnsi="Arial" w:cs="Arial"/>
          <w:b/>
          <w:bCs/>
          <w:sz w:val="22"/>
          <w:szCs w:val="22"/>
          <w:lang w:eastAsia="zh-CN"/>
        </w:rPr>
        <w:t>pequeñas empresas</w:t>
      </w:r>
      <w:r>
        <w:rPr>
          <w:rFonts w:ascii="Arial" w:eastAsiaTheme="minorEastAsia" w:hAnsi="Arial" w:cs="Arial"/>
          <w:sz w:val="22"/>
          <w:szCs w:val="22"/>
          <w:lang w:eastAsia="zh-CN"/>
        </w:rPr>
        <w:t xml:space="preserve"> (menos de 50 empleados)</w:t>
      </w:r>
      <w:r w:rsidR="00E93F97">
        <w:rPr>
          <w:rFonts w:ascii="Arial" w:eastAsiaTheme="minorEastAsia" w:hAnsi="Arial" w:cs="Arial"/>
          <w:sz w:val="22"/>
          <w:szCs w:val="22"/>
          <w:lang w:eastAsia="zh-CN"/>
        </w:rPr>
        <w:t xml:space="preserve">; que se sitúan en primer y segundo lugar y registran cifras </w:t>
      </w:r>
      <w:r w:rsidR="000D6AB6">
        <w:rPr>
          <w:rFonts w:ascii="Arial" w:eastAsiaTheme="minorEastAsia" w:hAnsi="Arial" w:cs="Arial"/>
          <w:sz w:val="22"/>
          <w:szCs w:val="22"/>
          <w:lang w:eastAsia="zh-CN"/>
        </w:rPr>
        <w:t xml:space="preserve">del 20% y 18%, respectivamente. En el caso de las compañías con más de 5.000 empleados, experimentaron un crecimiento de 9 puntos respecto a los tres meses anteriores y de 16 puntos en la comparativa interanual. Por su parte, las pequeñas empresas crecieron 8 puntos, tanto a nivel </w:t>
      </w:r>
      <w:proofErr w:type="spellStart"/>
      <w:r w:rsidR="000D6AB6">
        <w:rPr>
          <w:rFonts w:ascii="Arial" w:eastAsiaTheme="minorEastAsia" w:hAnsi="Arial" w:cs="Arial"/>
          <w:sz w:val="22"/>
          <w:szCs w:val="22"/>
          <w:lang w:eastAsia="zh-CN"/>
        </w:rPr>
        <w:t>intertrimestral</w:t>
      </w:r>
      <w:proofErr w:type="spellEnd"/>
      <w:r w:rsidR="000D6AB6">
        <w:rPr>
          <w:rFonts w:ascii="Arial" w:eastAsiaTheme="minorEastAsia" w:hAnsi="Arial" w:cs="Arial"/>
          <w:sz w:val="22"/>
          <w:szCs w:val="22"/>
          <w:lang w:eastAsia="zh-CN"/>
        </w:rPr>
        <w:t xml:space="preserve"> como interanual.</w:t>
      </w:r>
    </w:p>
    <w:p w14:paraId="6738C5C3" w14:textId="782FA28E" w:rsidR="00D12D3F" w:rsidRDefault="00D12D3F" w:rsidP="00090345">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 xml:space="preserve">A continuación, se encuentran las </w:t>
      </w:r>
      <w:r w:rsidRPr="00D12D3F">
        <w:rPr>
          <w:rFonts w:ascii="Arial" w:eastAsiaTheme="minorEastAsia" w:hAnsi="Arial" w:cs="Arial"/>
          <w:b/>
          <w:bCs/>
          <w:sz w:val="22"/>
          <w:szCs w:val="22"/>
          <w:lang w:eastAsia="zh-CN"/>
        </w:rPr>
        <w:t xml:space="preserve">organizaciones de entre 250 y </w:t>
      </w:r>
      <w:r w:rsidR="00C54617">
        <w:rPr>
          <w:rFonts w:ascii="Arial" w:eastAsiaTheme="minorEastAsia" w:hAnsi="Arial" w:cs="Arial"/>
          <w:b/>
          <w:bCs/>
          <w:sz w:val="22"/>
          <w:szCs w:val="22"/>
          <w:lang w:eastAsia="zh-CN"/>
        </w:rPr>
        <w:t>9</w:t>
      </w:r>
      <w:r w:rsidRPr="00D12D3F">
        <w:rPr>
          <w:rFonts w:ascii="Arial" w:eastAsiaTheme="minorEastAsia" w:hAnsi="Arial" w:cs="Arial"/>
          <w:b/>
          <w:bCs/>
          <w:sz w:val="22"/>
          <w:szCs w:val="22"/>
          <w:lang w:eastAsia="zh-CN"/>
        </w:rPr>
        <w:t>99 empleados</w:t>
      </w:r>
      <w:r>
        <w:rPr>
          <w:rFonts w:ascii="Arial" w:eastAsiaTheme="minorEastAsia" w:hAnsi="Arial" w:cs="Arial"/>
          <w:sz w:val="22"/>
          <w:szCs w:val="22"/>
          <w:lang w:eastAsia="zh-CN"/>
        </w:rPr>
        <w:t xml:space="preserve">, así como las que tienen </w:t>
      </w:r>
      <w:r w:rsidRPr="00D12D3F">
        <w:rPr>
          <w:rFonts w:ascii="Arial" w:eastAsiaTheme="minorEastAsia" w:hAnsi="Arial" w:cs="Arial"/>
          <w:b/>
          <w:bCs/>
          <w:sz w:val="22"/>
          <w:szCs w:val="22"/>
          <w:lang w:eastAsia="zh-CN"/>
        </w:rPr>
        <w:t>entre 1.000 y 4.999 empleados</w:t>
      </w:r>
      <w:r>
        <w:rPr>
          <w:rFonts w:ascii="Arial" w:eastAsiaTheme="minorEastAsia" w:hAnsi="Arial" w:cs="Arial"/>
          <w:sz w:val="22"/>
          <w:szCs w:val="22"/>
          <w:lang w:eastAsia="zh-CN"/>
        </w:rPr>
        <w:t xml:space="preserve">, ambas con una previsión del 17%. Las más prudentes en sus estimaciones son las </w:t>
      </w:r>
      <w:r w:rsidRPr="00E6057E">
        <w:rPr>
          <w:rFonts w:ascii="Arial" w:eastAsiaTheme="minorEastAsia" w:hAnsi="Arial" w:cs="Arial"/>
          <w:b/>
          <w:bCs/>
          <w:sz w:val="22"/>
          <w:szCs w:val="22"/>
          <w:lang w:eastAsia="zh-CN"/>
        </w:rPr>
        <w:t>microempresas</w:t>
      </w:r>
      <w:r>
        <w:rPr>
          <w:rFonts w:ascii="Arial" w:eastAsiaTheme="minorEastAsia" w:hAnsi="Arial" w:cs="Arial"/>
          <w:sz w:val="22"/>
          <w:szCs w:val="22"/>
          <w:lang w:eastAsia="zh-CN"/>
        </w:rPr>
        <w:t xml:space="preserve"> (</w:t>
      </w:r>
      <w:r w:rsidR="00E6057E">
        <w:rPr>
          <w:rFonts w:ascii="Arial" w:eastAsiaTheme="minorEastAsia" w:hAnsi="Arial" w:cs="Arial"/>
          <w:sz w:val="22"/>
          <w:szCs w:val="22"/>
          <w:lang w:eastAsia="zh-CN"/>
        </w:rPr>
        <w:t xml:space="preserve">7%, con un ajuste </w:t>
      </w:r>
      <w:proofErr w:type="spellStart"/>
      <w:r w:rsidR="00E6057E">
        <w:rPr>
          <w:rFonts w:ascii="Arial" w:eastAsiaTheme="minorEastAsia" w:hAnsi="Arial" w:cs="Arial"/>
          <w:sz w:val="22"/>
          <w:szCs w:val="22"/>
          <w:lang w:eastAsia="zh-CN"/>
        </w:rPr>
        <w:t>intertrimestral</w:t>
      </w:r>
      <w:proofErr w:type="spellEnd"/>
      <w:r w:rsidR="00E6057E">
        <w:rPr>
          <w:rFonts w:ascii="Arial" w:eastAsiaTheme="minorEastAsia" w:hAnsi="Arial" w:cs="Arial"/>
          <w:sz w:val="22"/>
          <w:szCs w:val="22"/>
          <w:lang w:eastAsia="zh-CN"/>
        </w:rPr>
        <w:t xml:space="preserve"> de 11 puntos) y las </w:t>
      </w:r>
      <w:r w:rsidR="00E6057E" w:rsidRPr="00E6057E">
        <w:rPr>
          <w:rFonts w:ascii="Arial" w:eastAsiaTheme="minorEastAsia" w:hAnsi="Arial" w:cs="Arial"/>
          <w:b/>
          <w:bCs/>
          <w:sz w:val="22"/>
          <w:szCs w:val="22"/>
          <w:lang w:eastAsia="zh-CN"/>
        </w:rPr>
        <w:t xml:space="preserve">compañías con entre 50 </w:t>
      </w:r>
      <w:r w:rsidR="00E6057E">
        <w:rPr>
          <w:rFonts w:ascii="Arial" w:eastAsiaTheme="minorEastAsia" w:hAnsi="Arial" w:cs="Arial"/>
          <w:b/>
          <w:bCs/>
          <w:sz w:val="22"/>
          <w:szCs w:val="22"/>
          <w:lang w:eastAsia="zh-CN"/>
        </w:rPr>
        <w:t>y</w:t>
      </w:r>
      <w:r w:rsidR="00E6057E" w:rsidRPr="00E6057E">
        <w:rPr>
          <w:rFonts w:ascii="Arial" w:eastAsiaTheme="minorEastAsia" w:hAnsi="Arial" w:cs="Arial"/>
          <w:b/>
          <w:bCs/>
          <w:sz w:val="22"/>
          <w:szCs w:val="22"/>
          <w:lang w:eastAsia="zh-CN"/>
        </w:rPr>
        <w:t xml:space="preserve"> 249 empleados</w:t>
      </w:r>
      <w:r w:rsidR="00E6057E">
        <w:rPr>
          <w:rFonts w:ascii="Arial" w:eastAsiaTheme="minorEastAsia" w:hAnsi="Arial" w:cs="Arial"/>
          <w:sz w:val="22"/>
          <w:szCs w:val="22"/>
          <w:lang w:eastAsia="zh-CN"/>
        </w:rPr>
        <w:t xml:space="preserve"> (6%, con una bajada de 16 puntos respecto al trimestre anterior).</w:t>
      </w:r>
    </w:p>
    <w:p w14:paraId="4651CE16" w14:textId="77777777" w:rsidR="00D076F3" w:rsidRDefault="00D076F3" w:rsidP="00090345">
      <w:pPr>
        <w:spacing w:before="120" w:line="288" w:lineRule="auto"/>
        <w:jc w:val="both"/>
        <w:rPr>
          <w:rFonts w:ascii="Arial" w:eastAsiaTheme="minorEastAsia" w:hAnsi="Arial" w:cs="Arial"/>
          <w:sz w:val="22"/>
          <w:szCs w:val="22"/>
          <w:lang w:eastAsia="zh-CN"/>
        </w:rPr>
      </w:pPr>
    </w:p>
    <w:bookmarkEnd w:id="1"/>
    <w:p w14:paraId="5B5A9D77" w14:textId="57405D5D" w:rsidR="00980C09" w:rsidRPr="00980C09" w:rsidRDefault="00980C09" w:rsidP="00090345">
      <w:pPr>
        <w:spacing w:before="120" w:line="288" w:lineRule="auto"/>
        <w:jc w:val="both"/>
        <w:rPr>
          <w:rFonts w:ascii="Arial" w:eastAsia="Arial" w:hAnsi="Arial" w:cs="Arial"/>
          <w:b/>
          <w:sz w:val="23"/>
          <w:szCs w:val="23"/>
        </w:rPr>
      </w:pPr>
      <w:r>
        <w:rPr>
          <w:rFonts w:ascii="Arial" w:eastAsia="Arial" w:hAnsi="Arial" w:cs="Arial"/>
          <w:b/>
          <w:sz w:val="23"/>
          <w:szCs w:val="23"/>
        </w:rPr>
        <w:t xml:space="preserve">España, </w:t>
      </w:r>
      <w:r w:rsidR="00DC55EB">
        <w:rPr>
          <w:rFonts w:ascii="Arial" w:eastAsia="Arial" w:hAnsi="Arial" w:cs="Arial"/>
          <w:b/>
          <w:sz w:val="23"/>
          <w:szCs w:val="23"/>
        </w:rPr>
        <w:t>8</w:t>
      </w:r>
      <w:r>
        <w:rPr>
          <w:rFonts w:ascii="Arial" w:eastAsia="Arial" w:hAnsi="Arial" w:cs="Arial"/>
          <w:b/>
          <w:sz w:val="23"/>
          <w:szCs w:val="23"/>
        </w:rPr>
        <w:t xml:space="preserve"> puntos </w:t>
      </w:r>
      <w:r w:rsidR="00750181">
        <w:rPr>
          <w:rFonts w:ascii="Arial" w:eastAsia="Arial" w:hAnsi="Arial" w:cs="Arial"/>
          <w:b/>
          <w:sz w:val="23"/>
          <w:szCs w:val="23"/>
        </w:rPr>
        <w:t xml:space="preserve">por debajo </w:t>
      </w:r>
      <w:r>
        <w:rPr>
          <w:rFonts w:ascii="Arial" w:eastAsia="Arial" w:hAnsi="Arial" w:cs="Arial"/>
          <w:b/>
          <w:sz w:val="23"/>
          <w:szCs w:val="23"/>
        </w:rPr>
        <w:t xml:space="preserve">de la </w:t>
      </w:r>
      <w:r w:rsidRPr="00980C09">
        <w:rPr>
          <w:rFonts w:ascii="Arial" w:eastAsia="Arial" w:hAnsi="Arial" w:cs="Arial"/>
          <w:b/>
          <w:sz w:val="23"/>
          <w:szCs w:val="23"/>
        </w:rPr>
        <w:t>media global</w:t>
      </w:r>
    </w:p>
    <w:p w14:paraId="1B60DD16" w14:textId="34D6291C" w:rsidR="00E6057E" w:rsidRDefault="001319E5" w:rsidP="00090345">
      <w:pPr>
        <w:spacing w:before="120" w:line="288" w:lineRule="auto"/>
        <w:jc w:val="both"/>
        <w:rPr>
          <w:rFonts w:ascii="Arial" w:eastAsiaTheme="minorEastAsia" w:hAnsi="Arial" w:cs="Arial"/>
          <w:sz w:val="22"/>
          <w:szCs w:val="22"/>
          <w:lang w:eastAsia="zh-CN"/>
        </w:rPr>
      </w:pPr>
      <w:r w:rsidRPr="00204E64">
        <w:rPr>
          <w:rFonts w:ascii="Arial" w:eastAsiaTheme="minorEastAsia" w:hAnsi="Arial" w:cs="Arial"/>
          <w:sz w:val="22"/>
          <w:szCs w:val="22"/>
          <w:lang w:eastAsia="zh-CN"/>
        </w:rPr>
        <w:t xml:space="preserve">A nivel global, </w:t>
      </w:r>
      <w:r w:rsidR="00980C09">
        <w:rPr>
          <w:rFonts w:ascii="Arial" w:eastAsiaTheme="minorEastAsia" w:hAnsi="Arial" w:cs="Arial"/>
          <w:sz w:val="22"/>
          <w:szCs w:val="22"/>
          <w:lang w:eastAsia="zh-CN"/>
        </w:rPr>
        <w:t xml:space="preserve">las </w:t>
      </w:r>
      <w:r w:rsidR="00E6057E">
        <w:rPr>
          <w:rFonts w:ascii="Arial" w:eastAsiaTheme="minorEastAsia" w:hAnsi="Arial" w:cs="Arial"/>
          <w:sz w:val="22"/>
          <w:szCs w:val="22"/>
          <w:lang w:eastAsia="zh-CN"/>
        </w:rPr>
        <w:t>expectativas de contratación se sitúan en el 22%,</w:t>
      </w:r>
      <w:r w:rsidR="003A5A50">
        <w:rPr>
          <w:rFonts w:ascii="Arial" w:eastAsiaTheme="minorEastAsia" w:hAnsi="Arial" w:cs="Arial"/>
          <w:sz w:val="22"/>
          <w:szCs w:val="22"/>
          <w:lang w:eastAsia="zh-CN"/>
        </w:rPr>
        <w:t xml:space="preserve"> 4 puntos por debajo de la cifra registrada en el primer trimestre del año, pero 8 puntos superior a la cifra obtenida en España (14%). En la comparativa mundial, India (36%) y EE.UU. (34%) son los países con mejores previsiones, mientras que en el lado contrario se encuentran Israel (-1%) y Rumania (-2%).</w:t>
      </w:r>
    </w:p>
    <w:p w14:paraId="76784AA3" w14:textId="77777777" w:rsidR="00D44823" w:rsidRDefault="00D44823" w:rsidP="00090345">
      <w:pPr>
        <w:spacing w:before="120" w:line="288" w:lineRule="auto"/>
        <w:jc w:val="both"/>
        <w:rPr>
          <w:rFonts w:ascii="Arial" w:eastAsiaTheme="minorEastAsia" w:hAnsi="Arial" w:cs="Arial"/>
          <w:sz w:val="22"/>
          <w:szCs w:val="22"/>
          <w:lang w:eastAsia="zh-CN"/>
        </w:rPr>
      </w:pPr>
    </w:p>
    <w:p w14:paraId="260A81EE" w14:textId="77777777" w:rsidR="003A5A50" w:rsidRDefault="003A5A50" w:rsidP="00C76422">
      <w:pPr>
        <w:spacing w:line="276" w:lineRule="auto"/>
        <w:ind w:right="-1"/>
        <w:jc w:val="both"/>
        <w:rPr>
          <w:rFonts w:ascii="Arial" w:eastAsiaTheme="minorEastAsia" w:hAnsi="Arial" w:cs="Arial"/>
          <w:sz w:val="22"/>
          <w:szCs w:val="22"/>
          <w:lang w:eastAsia="zh-CN"/>
        </w:rPr>
      </w:pPr>
    </w:p>
    <w:p w14:paraId="151749A0" w14:textId="53AC77EB" w:rsidR="00C76422" w:rsidRPr="00DC55EB" w:rsidRDefault="00204E64" w:rsidP="00C76422">
      <w:pPr>
        <w:spacing w:line="276" w:lineRule="auto"/>
        <w:ind w:right="-1"/>
        <w:jc w:val="both"/>
        <w:rPr>
          <w:rFonts w:ascii="Arial" w:hAnsi="Arial" w:cs="Arial"/>
          <w:sz w:val="20"/>
          <w:szCs w:val="20"/>
        </w:rPr>
      </w:pPr>
      <w:bookmarkStart w:id="6" w:name="_Hlk161068777"/>
      <w:r w:rsidRPr="00DC55EB">
        <w:rPr>
          <w:rFonts w:ascii="Arial" w:hAnsi="Arial" w:cs="Arial"/>
          <w:b/>
          <w:bCs/>
          <w:sz w:val="20"/>
          <w:szCs w:val="20"/>
        </w:rPr>
        <w:lastRenderedPageBreak/>
        <w:t>Sobre el Estudio de Proyección de Empleo de ManpowerGroup</w:t>
      </w:r>
      <w:r w:rsidR="008C7DC2" w:rsidRPr="00DC55EB">
        <w:rPr>
          <w:rFonts w:ascii="Arial" w:hAnsi="Arial" w:cs="Arial"/>
          <w:b/>
          <w:bCs/>
          <w:sz w:val="20"/>
          <w:szCs w:val="20"/>
        </w:rPr>
        <w:t>:</w:t>
      </w:r>
      <w:r w:rsidR="00C76422" w:rsidRPr="00DC55EB">
        <w:rPr>
          <w:rFonts w:ascii="Arial" w:hAnsi="Arial" w:cs="Arial"/>
          <w:b/>
          <w:bCs/>
          <w:sz w:val="20"/>
          <w:szCs w:val="20"/>
        </w:rPr>
        <w:t xml:space="preserve"> </w:t>
      </w:r>
      <w:bookmarkStart w:id="7" w:name="_Hlk90222956"/>
      <w:bookmarkStart w:id="8" w:name="_Hlk90207554"/>
      <w:bookmarkEnd w:id="2"/>
      <w:bookmarkEnd w:id="3"/>
      <w:bookmarkEnd w:id="4"/>
      <w:r w:rsidR="00DC55EB">
        <w:rPr>
          <w:rFonts w:ascii="Arial" w:hAnsi="Arial" w:cs="Arial"/>
          <w:sz w:val="20"/>
          <w:szCs w:val="20"/>
        </w:rPr>
        <w:t>e</w:t>
      </w:r>
      <w:r w:rsidR="00910200" w:rsidRPr="00DC55EB">
        <w:rPr>
          <w:rFonts w:ascii="Arial" w:hAnsi="Arial" w:cs="Arial"/>
          <w:sz w:val="20"/>
          <w:szCs w:val="20"/>
        </w:rPr>
        <w:t xml:space="preserve">ste estudio se basa en entrevistas realizadas a </w:t>
      </w:r>
      <w:r w:rsidR="00B25727" w:rsidRPr="00B25727">
        <w:rPr>
          <w:rFonts w:ascii="Arial" w:hAnsi="Arial" w:cs="Arial"/>
          <w:b/>
          <w:bCs/>
          <w:sz w:val="20"/>
          <w:szCs w:val="20"/>
        </w:rPr>
        <w:t xml:space="preserve">40.385 </w:t>
      </w:r>
      <w:r w:rsidR="00910200" w:rsidRPr="00DC55EB">
        <w:rPr>
          <w:rFonts w:ascii="Arial" w:hAnsi="Arial" w:cs="Arial"/>
          <w:b/>
          <w:bCs/>
          <w:sz w:val="20"/>
          <w:szCs w:val="20"/>
        </w:rPr>
        <w:t>empresas de todo el mundo -1.0</w:t>
      </w:r>
      <w:r w:rsidR="00B25727">
        <w:rPr>
          <w:rFonts w:ascii="Arial" w:hAnsi="Arial" w:cs="Arial"/>
          <w:b/>
          <w:bCs/>
          <w:sz w:val="20"/>
          <w:szCs w:val="20"/>
        </w:rPr>
        <w:t>49</w:t>
      </w:r>
      <w:r w:rsidR="00910200" w:rsidRPr="00DC55EB">
        <w:rPr>
          <w:rFonts w:ascii="Arial" w:hAnsi="Arial" w:cs="Arial"/>
          <w:b/>
          <w:bCs/>
          <w:sz w:val="20"/>
          <w:szCs w:val="20"/>
        </w:rPr>
        <w:t xml:space="preserve"> de ellas en España-</w:t>
      </w:r>
      <w:r w:rsidR="00910200" w:rsidRPr="00DC55EB">
        <w:rPr>
          <w:rFonts w:ascii="Arial" w:hAnsi="Arial" w:cs="Arial"/>
          <w:sz w:val="20"/>
          <w:szCs w:val="20"/>
        </w:rPr>
        <w:t>, tanto del sector público como del privado, de 4</w:t>
      </w:r>
      <w:r w:rsidR="00B25727">
        <w:rPr>
          <w:rFonts w:ascii="Arial" w:hAnsi="Arial" w:cs="Arial"/>
          <w:sz w:val="20"/>
          <w:szCs w:val="20"/>
        </w:rPr>
        <w:t>2</w:t>
      </w:r>
      <w:r w:rsidR="00910200" w:rsidRPr="00DC55EB">
        <w:rPr>
          <w:rFonts w:ascii="Arial" w:hAnsi="Arial" w:cs="Arial"/>
          <w:sz w:val="20"/>
          <w:szCs w:val="20"/>
        </w:rPr>
        <w:t xml:space="preserve"> países y territorios, y su objetivo es medir las tendencias de empleo previstas para cada trimestre. Esta muestra permite realizar un análisis por sectores y regiones</w:t>
      </w:r>
      <w:r w:rsidR="00493CFD" w:rsidRPr="00DC55EB">
        <w:rPr>
          <w:rFonts w:ascii="Arial" w:hAnsi="Arial" w:cs="Arial"/>
          <w:sz w:val="20"/>
          <w:szCs w:val="20"/>
        </w:rPr>
        <w:t xml:space="preserve"> -ya que están estandarizados en todos los mercados- </w:t>
      </w:r>
      <w:r w:rsidR="00910200" w:rsidRPr="00DC55EB">
        <w:rPr>
          <w:rFonts w:ascii="Arial" w:hAnsi="Arial" w:cs="Arial"/>
          <w:sz w:val="20"/>
          <w:szCs w:val="20"/>
        </w:rPr>
        <w:t>y así ofrecer una información más detallada.</w:t>
      </w:r>
    </w:p>
    <w:p w14:paraId="393CBE0B" w14:textId="524B7F81" w:rsidR="00C76422" w:rsidRPr="00DC55EB" w:rsidRDefault="00493CFD" w:rsidP="00C76422">
      <w:pPr>
        <w:spacing w:line="276" w:lineRule="auto"/>
        <w:ind w:right="-1"/>
        <w:jc w:val="both"/>
        <w:rPr>
          <w:rFonts w:ascii="Arial" w:hAnsi="Arial" w:cs="Arial"/>
          <w:sz w:val="20"/>
          <w:szCs w:val="20"/>
        </w:rPr>
      </w:pPr>
      <w:r w:rsidRPr="00DC55EB">
        <w:rPr>
          <w:rFonts w:ascii="Arial" w:hAnsi="Arial" w:cs="Arial"/>
          <w:sz w:val="20"/>
          <w:szCs w:val="20"/>
        </w:rPr>
        <w:t>E</w:t>
      </w:r>
      <w:r w:rsidR="00910200" w:rsidRPr="00DC55EB">
        <w:rPr>
          <w:rFonts w:ascii="Arial" w:hAnsi="Arial" w:cs="Arial"/>
          <w:sz w:val="20"/>
          <w:szCs w:val="20"/>
        </w:rPr>
        <w:t>l estudio obt</w:t>
      </w:r>
      <w:r w:rsidRPr="00DC55EB">
        <w:rPr>
          <w:rFonts w:ascii="Arial" w:hAnsi="Arial" w:cs="Arial"/>
          <w:sz w:val="20"/>
          <w:szCs w:val="20"/>
        </w:rPr>
        <w:t>iene</w:t>
      </w:r>
      <w:r w:rsidR="00910200" w:rsidRPr="00DC55EB">
        <w:rPr>
          <w:rFonts w:ascii="Arial" w:hAnsi="Arial" w:cs="Arial"/>
          <w:sz w:val="20"/>
          <w:szCs w:val="20"/>
        </w:rPr>
        <w:t xml:space="preserve"> su información a partir de una única pregunta: </w:t>
      </w:r>
      <w:r w:rsidR="00910200" w:rsidRPr="00DC55EB">
        <w:rPr>
          <w:rFonts w:ascii="Arial" w:hAnsi="Arial" w:cs="Arial"/>
          <w:b/>
          <w:bCs/>
          <w:sz w:val="20"/>
          <w:szCs w:val="20"/>
        </w:rPr>
        <w:t xml:space="preserve">“¿Cómo prevé usted que cambiará el empleo total en su empresa en el próximo trimestre, hasta finales de </w:t>
      </w:r>
      <w:r w:rsidR="00DC55EB">
        <w:rPr>
          <w:rFonts w:ascii="Arial" w:hAnsi="Arial" w:cs="Arial"/>
          <w:b/>
          <w:bCs/>
          <w:sz w:val="20"/>
          <w:szCs w:val="20"/>
        </w:rPr>
        <w:t xml:space="preserve">junio </w:t>
      </w:r>
      <w:r w:rsidR="00910200" w:rsidRPr="00DC55EB">
        <w:rPr>
          <w:rFonts w:ascii="Arial" w:hAnsi="Arial" w:cs="Arial"/>
          <w:b/>
          <w:bCs/>
          <w:sz w:val="20"/>
          <w:szCs w:val="20"/>
        </w:rPr>
        <w:t>de 202</w:t>
      </w:r>
      <w:r w:rsidR="00763C96" w:rsidRPr="00DC55EB">
        <w:rPr>
          <w:rFonts w:ascii="Arial" w:hAnsi="Arial" w:cs="Arial"/>
          <w:b/>
          <w:bCs/>
          <w:sz w:val="20"/>
          <w:szCs w:val="20"/>
        </w:rPr>
        <w:t>4</w:t>
      </w:r>
      <w:r w:rsidR="00910200" w:rsidRPr="00DC55EB">
        <w:rPr>
          <w:rFonts w:ascii="Arial" w:hAnsi="Arial" w:cs="Arial"/>
          <w:b/>
          <w:bCs/>
          <w:sz w:val="20"/>
          <w:szCs w:val="20"/>
        </w:rPr>
        <w:t>, en comparación con el trimestre actual?</w:t>
      </w:r>
      <w:r w:rsidR="00910200" w:rsidRPr="00DC55EB">
        <w:rPr>
          <w:rFonts w:ascii="Arial" w:hAnsi="Arial" w:cs="Arial"/>
          <w:sz w:val="20"/>
          <w:szCs w:val="20"/>
        </w:rPr>
        <w:t>”.</w:t>
      </w:r>
      <w:r w:rsidRPr="00DC55EB">
        <w:rPr>
          <w:rFonts w:ascii="Arial" w:hAnsi="Arial" w:cs="Arial"/>
          <w:sz w:val="20"/>
          <w:szCs w:val="20"/>
        </w:rPr>
        <w:t xml:space="preserve"> </w:t>
      </w:r>
      <w:r w:rsidR="00A73C99" w:rsidRPr="00DC55EB">
        <w:rPr>
          <w:rFonts w:ascii="Arial" w:hAnsi="Arial" w:cs="Arial"/>
          <w:sz w:val="20"/>
          <w:szCs w:val="20"/>
        </w:rPr>
        <w:t xml:space="preserve">Como resultado de comparar las compañías que tienen previsto ampliar sus equipos y las que anticipan una reducción </w:t>
      </w:r>
      <w:r w:rsidR="00A73C99" w:rsidRPr="00DC55EB">
        <w:rPr>
          <w:rFonts w:ascii="Arial" w:hAnsi="Arial" w:cs="Arial"/>
          <w:b/>
          <w:bCs/>
          <w:sz w:val="20"/>
          <w:szCs w:val="20"/>
        </w:rPr>
        <w:t>se obtiene un índice cuyo resultado puede ir desde -100% a 100%</w:t>
      </w:r>
      <w:r w:rsidR="00A73C99" w:rsidRPr="00DC55EB">
        <w:rPr>
          <w:rFonts w:ascii="Arial" w:hAnsi="Arial" w:cs="Arial"/>
          <w:sz w:val="20"/>
          <w:szCs w:val="20"/>
        </w:rPr>
        <w:t>.</w:t>
      </w:r>
    </w:p>
    <w:p w14:paraId="6E6E2DD4" w14:textId="6A537F17" w:rsidR="00910200" w:rsidRPr="00DC55EB" w:rsidRDefault="00A73C99" w:rsidP="00C76422">
      <w:pPr>
        <w:spacing w:line="276" w:lineRule="auto"/>
        <w:ind w:right="-1"/>
        <w:jc w:val="both"/>
        <w:rPr>
          <w:rFonts w:ascii="Arial" w:hAnsi="Arial" w:cs="Arial"/>
          <w:sz w:val="20"/>
          <w:szCs w:val="20"/>
        </w:rPr>
      </w:pPr>
      <w:r w:rsidRPr="00DC55EB">
        <w:rPr>
          <w:rFonts w:ascii="Arial" w:hAnsi="Arial" w:cs="Arial"/>
          <w:sz w:val="20"/>
          <w:szCs w:val="20"/>
        </w:rPr>
        <w:t xml:space="preserve">El estudio se lleva a cabo desde hace más de 60 años con la misma pregunta y perfil de encuestados. </w:t>
      </w:r>
      <w:r w:rsidR="00493CFD" w:rsidRPr="00DC55EB">
        <w:rPr>
          <w:rFonts w:ascii="Arial" w:hAnsi="Arial" w:cs="Arial"/>
          <w:sz w:val="20"/>
          <w:szCs w:val="20"/>
        </w:rPr>
        <w:t xml:space="preserve">Desde el primer trimestre </w:t>
      </w:r>
      <w:r w:rsidR="00910200" w:rsidRPr="00DC55EB">
        <w:rPr>
          <w:rFonts w:ascii="Arial" w:hAnsi="Arial" w:cs="Arial"/>
          <w:sz w:val="20"/>
          <w:szCs w:val="20"/>
        </w:rPr>
        <w:t>de 2022, las respuestas se recopilan a través de un sistema online de doble confirmación en el que se incentiva a los participantes a completar la encuesta.</w:t>
      </w:r>
    </w:p>
    <w:p w14:paraId="38E90E99" w14:textId="33946651" w:rsidR="00C76422" w:rsidRDefault="00C76422" w:rsidP="001740C7">
      <w:pPr>
        <w:jc w:val="both"/>
        <w:rPr>
          <w:rFonts w:ascii="Arial" w:hAnsi="Arial" w:cs="Arial"/>
          <w:b/>
          <w:bCs/>
          <w:sz w:val="16"/>
          <w:szCs w:val="16"/>
        </w:rPr>
      </w:pPr>
    </w:p>
    <w:p w14:paraId="5F25FB14" w14:textId="4F1E1D4F" w:rsidR="00750181" w:rsidRDefault="00750181" w:rsidP="00DC55EB">
      <w:pPr>
        <w:jc w:val="both"/>
        <w:rPr>
          <w:rFonts w:ascii="Arial" w:hAnsi="Arial" w:cs="Arial"/>
          <w:b/>
          <w:bCs/>
          <w:sz w:val="16"/>
          <w:szCs w:val="16"/>
        </w:rPr>
      </w:pPr>
    </w:p>
    <w:p w14:paraId="515740E1" w14:textId="77777777" w:rsidR="00750181" w:rsidRDefault="00750181" w:rsidP="00DC55EB">
      <w:pPr>
        <w:jc w:val="both"/>
        <w:rPr>
          <w:rFonts w:ascii="Arial" w:hAnsi="Arial" w:cs="Arial"/>
          <w:b/>
          <w:bCs/>
          <w:sz w:val="16"/>
          <w:szCs w:val="16"/>
        </w:rPr>
      </w:pPr>
    </w:p>
    <w:p w14:paraId="57C9640A" w14:textId="6476B420" w:rsidR="001740C7" w:rsidRPr="00C76422" w:rsidRDefault="001740C7" w:rsidP="00DC55EB">
      <w:pPr>
        <w:jc w:val="both"/>
        <w:rPr>
          <w:rFonts w:ascii="Arial" w:hAnsi="Arial" w:cs="Arial"/>
          <w:sz w:val="16"/>
          <w:szCs w:val="16"/>
        </w:rPr>
      </w:pPr>
      <w:r w:rsidRPr="00C76422">
        <w:rPr>
          <w:rFonts w:ascii="Arial" w:hAnsi="Arial" w:cs="Arial"/>
          <w:b/>
          <w:bCs/>
          <w:sz w:val="16"/>
          <w:szCs w:val="16"/>
        </w:rPr>
        <w:t>ManpowerGroup</w:t>
      </w:r>
      <w:r w:rsidRPr="00C76422">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40FB4AA" w14:textId="5955DC9B" w:rsidR="001740C7" w:rsidRPr="00C76422" w:rsidRDefault="001740C7" w:rsidP="00DC55EB">
      <w:pPr>
        <w:jc w:val="both"/>
        <w:rPr>
          <w:rFonts w:ascii="Arial" w:hAnsi="Arial" w:cs="Arial"/>
          <w:sz w:val="16"/>
          <w:szCs w:val="16"/>
        </w:rPr>
      </w:pPr>
      <w:r w:rsidRPr="00C76422">
        <w:rPr>
          <w:rFonts w:ascii="Arial" w:hAnsi="Arial" w:cs="Arial"/>
          <w:sz w:val="16"/>
          <w:szCs w:val="16"/>
        </w:rPr>
        <w:t xml:space="preserve">Más información en </w:t>
      </w:r>
      <w:hyperlink r:id="rId10" w:history="1">
        <w:r w:rsidR="007C1C1A" w:rsidRPr="003F56FE">
          <w:rPr>
            <w:rStyle w:val="Hipervnculo"/>
            <w:rFonts w:ascii="Arial" w:hAnsi="Arial" w:cs="Arial"/>
            <w:sz w:val="16"/>
            <w:szCs w:val="16"/>
          </w:rPr>
          <w:t>www.manpowergroup.es</w:t>
        </w:r>
      </w:hyperlink>
      <w:r w:rsidRPr="00C76422">
        <w:rPr>
          <w:rFonts w:ascii="Arial" w:hAnsi="Arial" w:cs="Arial"/>
          <w:sz w:val="16"/>
          <w:szCs w:val="16"/>
        </w:rPr>
        <w:t>.</w:t>
      </w:r>
    </w:p>
    <w:p w14:paraId="4A498259" w14:textId="1B60E822" w:rsidR="00493CFD" w:rsidRDefault="00493CFD" w:rsidP="00DC55EB">
      <w:pPr>
        <w:tabs>
          <w:tab w:val="right" w:pos="8838"/>
        </w:tabs>
        <w:autoSpaceDE w:val="0"/>
        <w:autoSpaceDN w:val="0"/>
        <w:adjustRightInd w:val="0"/>
        <w:jc w:val="both"/>
        <w:rPr>
          <w:rFonts w:ascii="Arial" w:hAnsi="Arial" w:cs="Arial"/>
          <w:sz w:val="16"/>
          <w:szCs w:val="16"/>
        </w:rPr>
      </w:pPr>
    </w:p>
    <w:p w14:paraId="6FB62582" w14:textId="39C9DF2B" w:rsidR="00750181" w:rsidRDefault="00750181" w:rsidP="00DC55EB">
      <w:pPr>
        <w:tabs>
          <w:tab w:val="right" w:pos="8838"/>
        </w:tabs>
        <w:autoSpaceDE w:val="0"/>
        <w:autoSpaceDN w:val="0"/>
        <w:adjustRightInd w:val="0"/>
        <w:jc w:val="both"/>
        <w:rPr>
          <w:rFonts w:ascii="Arial" w:hAnsi="Arial" w:cs="Arial"/>
          <w:sz w:val="16"/>
          <w:szCs w:val="16"/>
        </w:rPr>
      </w:pPr>
    </w:p>
    <w:p w14:paraId="108340AD" w14:textId="77777777" w:rsidR="00750181" w:rsidRDefault="00750181" w:rsidP="00DC55EB">
      <w:pPr>
        <w:tabs>
          <w:tab w:val="right" w:pos="8838"/>
        </w:tabs>
        <w:autoSpaceDE w:val="0"/>
        <w:autoSpaceDN w:val="0"/>
        <w:adjustRightInd w:val="0"/>
        <w:jc w:val="both"/>
        <w:rPr>
          <w:rFonts w:ascii="Arial" w:hAnsi="Arial" w:cs="Arial"/>
          <w:sz w:val="16"/>
          <w:szCs w:val="16"/>
        </w:rPr>
      </w:pPr>
    </w:p>
    <w:p w14:paraId="388A29FF" w14:textId="77777777" w:rsidR="001A2A76" w:rsidRPr="00CC188B" w:rsidRDefault="001A2A76" w:rsidP="00DC55EB">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CC188B" w14:paraId="0018B07B" w14:textId="77777777" w:rsidTr="00D8716B">
        <w:trPr>
          <w:trHeight w:val="1159"/>
        </w:trPr>
        <w:tc>
          <w:tcPr>
            <w:tcW w:w="2943" w:type="dxa"/>
            <w:hideMark/>
          </w:tcPr>
          <w:p w14:paraId="2779EAD6" w14:textId="0DACF617" w:rsidR="001A2A76" w:rsidRPr="00CC188B" w:rsidRDefault="001A2A76" w:rsidP="00DC55EB">
            <w:pPr>
              <w:jc w:val="both"/>
              <w:outlineLvl w:val="0"/>
              <w:rPr>
                <w:rFonts w:ascii="Arial" w:hAnsi="Arial" w:cs="Arial"/>
                <w:b/>
                <w:sz w:val="16"/>
                <w:szCs w:val="16"/>
              </w:rPr>
            </w:pPr>
            <w:bookmarkStart w:id="9" w:name="_Hlk90207537"/>
            <w:r w:rsidRPr="00CC188B">
              <w:rPr>
                <w:rFonts w:ascii="Arial" w:hAnsi="Arial" w:cs="Arial"/>
                <w:b/>
                <w:sz w:val="16"/>
                <w:szCs w:val="16"/>
              </w:rPr>
              <w:t>ManpowerGroup</w:t>
            </w:r>
          </w:p>
          <w:p w14:paraId="0B32ED5C" w14:textId="77777777" w:rsidR="001A2A76" w:rsidRPr="00CC188B" w:rsidRDefault="001A2A76" w:rsidP="00DC55EB">
            <w:pPr>
              <w:jc w:val="both"/>
              <w:outlineLvl w:val="0"/>
              <w:rPr>
                <w:rFonts w:ascii="Arial" w:hAnsi="Arial" w:cs="Arial"/>
                <w:sz w:val="16"/>
                <w:szCs w:val="16"/>
              </w:rPr>
            </w:pPr>
            <w:r w:rsidRPr="00CC188B">
              <w:rPr>
                <w:rFonts w:ascii="Arial" w:hAnsi="Arial" w:cs="Arial"/>
                <w:sz w:val="16"/>
                <w:szCs w:val="16"/>
              </w:rPr>
              <w:t>Dpto. Comunicación</w:t>
            </w:r>
          </w:p>
          <w:p w14:paraId="3BC89F30" w14:textId="77777777" w:rsidR="001A2A76" w:rsidRPr="00CC188B" w:rsidRDefault="001A2A76" w:rsidP="00DC55EB">
            <w:pPr>
              <w:jc w:val="both"/>
              <w:rPr>
                <w:rFonts w:ascii="Arial" w:hAnsi="Arial" w:cs="Arial"/>
                <w:sz w:val="16"/>
                <w:szCs w:val="16"/>
              </w:rPr>
            </w:pPr>
            <w:r w:rsidRPr="00CC188B">
              <w:rPr>
                <w:rFonts w:ascii="Arial" w:hAnsi="Arial" w:cs="Arial"/>
                <w:sz w:val="16"/>
                <w:szCs w:val="16"/>
              </w:rPr>
              <w:t>Juan Gómez Rodríguez</w:t>
            </w:r>
          </w:p>
          <w:p w14:paraId="1A8FDA31" w14:textId="77777777" w:rsidR="001A2A76" w:rsidRPr="00CC188B" w:rsidRDefault="001A2A76" w:rsidP="00DC55EB">
            <w:pPr>
              <w:jc w:val="both"/>
              <w:rPr>
                <w:rFonts w:ascii="Arial" w:hAnsi="Arial" w:cs="Arial"/>
                <w:sz w:val="16"/>
                <w:szCs w:val="16"/>
              </w:rPr>
            </w:pPr>
            <w:r w:rsidRPr="00CC188B">
              <w:rPr>
                <w:rFonts w:ascii="Arial" w:hAnsi="Arial" w:cs="Arial"/>
                <w:sz w:val="16"/>
                <w:szCs w:val="16"/>
              </w:rPr>
              <w:t>Tel. 687 51 96 90</w:t>
            </w:r>
          </w:p>
          <w:p w14:paraId="42BF9EDC" w14:textId="74FABF73" w:rsidR="001A2A76" w:rsidRPr="00A73C99" w:rsidRDefault="00715BBB" w:rsidP="00DC55EB">
            <w:pPr>
              <w:jc w:val="both"/>
              <w:rPr>
                <w:rFonts w:ascii="Arial" w:hAnsi="Arial" w:cs="Arial"/>
                <w:sz w:val="16"/>
                <w:szCs w:val="16"/>
              </w:rPr>
            </w:pPr>
            <w:hyperlink r:id="rId11" w:history="1">
              <w:r w:rsidR="001A2A76" w:rsidRPr="00CC188B">
                <w:rPr>
                  <w:rStyle w:val="Hipervnculo"/>
                  <w:rFonts w:ascii="Arial" w:hAnsi="Arial" w:cs="Arial"/>
                  <w:sz w:val="16"/>
                  <w:szCs w:val="16"/>
                </w:rPr>
                <w:t>juan.gomez@manpowergroup.es</w:t>
              </w:r>
            </w:hyperlink>
          </w:p>
        </w:tc>
        <w:tc>
          <w:tcPr>
            <w:tcW w:w="2977" w:type="dxa"/>
          </w:tcPr>
          <w:p w14:paraId="4C3E35BD" w14:textId="77777777" w:rsidR="001A2A76" w:rsidRPr="00CC188B" w:rsidRDefault="001A2A76" w:rsidP="00DC55EB">
            <w:pPr>
              <w:jc w:val="both"/>
              <w:rPr>
                <w:rFonts w:ascii="Arial" w:hAnsi="Arial" w:cs="Arial"/>
                <w:sz w:val="16"/>
                <w:szCs w:val="16"/>
                <w:lang w:val="ca-ES"/>
              </w:rPr>
            </w:pPr>
          </w:p>
        </w:tc>
        <w:tc>
          <w:tcPr>
            <w:tcW w:w="3028" w:type="dxa"/>
          </w:tcPr>
          <w:p w14:paraId="1A30D9AF" w14:textId="77777777" w:rsidR="00DC55EB" w:rsidRDefault="003509A5" w:rsidP="00DC55EB">
            <w:pPr>
              <w:pStyle w:val="NormalWeb"/>
              <w:spacing w:before="0" w:beforeAutospacing="0" w:after="0" w:afterAutospacing="0"/>
              <w:jc w:val="both"/>
              <w:rPr>
                <w:rFonts w:ascii="Arial" w:hAnsi="Arial" w:cs="Arial"/>
                <w:color w:val="000000"/>
                <w:sz w:val="16"/>
                <w:szCs w:val="16"/>
                <w:u w:val="single"/>
              </w:rPr>
            </w:pPr>
            <w:r w:rsidRPr="00CC188B">
              <w:rPr>
                <w:rFonts w:ascii="Arial" w:hAnsi="Arial" w:cs="Arial"/>
                <w:color w:val="000000"/>
                <w:sz w:val="16"/>
                <w:szCs w:val="16"/>
                <w:u w:val="single"/>
              </w:rPr>
              <w:t>Agencia de comunicación Indie PR</w:t>
            </w:r>
          </w:p>
          <w:p w14:paraId="49BBC84D" w14:textId="666E93BC" w:rsidR="003509A5" w:rsidRPr="00CC188B" w:rsidRDefault="00EF7ED2" w:rsidP="00DC55EB">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Cristina Villanueva</w:t>
            </w:r>
          </w:p>
          <w:p w14:paraId="43FFFD20" w14:textId="63E76B81" w:rsidR="003509A5" w:rsidRPr="00CC188B" w:rsidRDefault="003509A5" w:rsidP="00DC55EB">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 xml:space="preserve">Tel.: </w:t>
            </w:r>
            <w:r w:rsidR="00894DEA" w:rsidRPr="00CC188B">
              <w:rPr>
                <w:rFonts w:ascii="Arial" w:hAnsi="Arial" w:cs="Arial"/>
                <w:color w:val="000000"/>
                <w:sz w:val="16"/>
                <w:szCs w:val="16"/>
              </w:rPr>
              <w:t>687 14 73 60</w:t>
            </w:r>
          </w:p>
          <w:p w14:paraId="2F6CABB8" w14:textId="77777777" w:rsidR="00DC55EB" w:rsidRDefault="00715BBB" w:rsidP="00DC55EB">
            <w:pPr>
              <w:pStyle w:val="NormalWeb"/>
              <w:spacing w:before="0" w:beforeAutospacing="0" w:after="0" w:afterAutospacing="0"/>
              <w:jc w:val="both"/>
              <w:rPr>
                <w:rFonts w:ascii="Arial" w:hAnsi="Arial" w:cs="Arial"/>
                <w:sz w:val="16"/>
                <w:szCs w:val="16"/>
              </w:rPr>
            </w:pPr>
            <w:hyperlink r:id="rId12" w:history="1">
              <w:r w:rsidR="00DC55EB" w:rsidRPr="007D43EA">
                <w:rPr>
                  <w:rStyle w:val="Hipervnculo"/>
                  <w:rFonts w:ascii="Arial" w:hAnsi="Arial" w:cs="Arial"/>
                  <w:sz w:val="16"/>
                  <w:szCs w:val="16"/>
                </w:rPr>
                <w:t>cristina@indiepr.es</w:t>
              </w:r>
            </w:hyperlink>
          </w:p>
          <w:p w14:paraId="00FA3215" w14:textId="77777777" w:rsidR="00DC55EB" w:rsidRDefault="00DC55EB" w:rsidP="00DC55EB">
            <w:pPr>
              <w:pStyle w:val="NormalWeb"/>
              <w:spacing w:before="0" w:beforeAutospacing="0" w:after="0" w:afterAutospacing="0"/>
              <w:jc w:val="both"/>
              <w:rPr>
                <w:rFonts w:ascii="Arial" w:hAnsi="Arial" w:cs="Arial"/>
                <w:sz w:val="16"/>
                <w:szCs w:val="16"/>
              </w:rPr>
            </w:pPr>
          </w:p>
          <w:p w14:paraId="76E070C3" w14:textId="3B268AE2" w:rsidR="00D44823" w:rsidRPr="00CC188B" w:rsidRDefault="00D44823" w:rsidP="00DC55EB">
            <w:pPr>
              <w:pStyle w:val="NormalWeb"/>
              <w:spacing w:before="0" w:beforeAutospacing="0" w:after="0" w:afterAutospacing="0"/>
              <w:jc w:val="both"/>
              <w:rPr>
                <w:rFonts w:ascii="Arial" w:hAnsi="Arial" w:cs="Arial"/>
                <w:sz w:val="16"/>
                <w:szCs w:val="16"/>
              </w:rPr>
            </w:pPr>
            <w:r>
              <w:rPr>
                <w:rFonts w:ascii="Arial" w:hAnsi="Arial" w:cs="Arial"/>
                <w:b/>
                <w:bCs/>
                <w:color w:val="000000"/>
                <w:sz w:val="16"/>
                <w:szCs w:val="16"/>
              </w:rPr>
              <w:t xml:space="preserve">Rosa </w:t>
            </w:r>
            <w:proofErr w:type="spellStart"/>
            <w:r>
              <w:rPr>
                <w:rFonts w:ascii="Arial" w:hAnsi="Arial" w:cs="Arial"/>
                <w:b/>
                <w:bCs/>
                <w:color w:val="000000"/>
                <w:sz w:val="16"/>
                <w:szCs w:val="16"/>
              </w:rPr>
              <w:t>Estarellas</w:t>
            </w:r>
            <w:proofErr w:type="spellEnd"/>
          </w:p>
          <w:p w14:paraId="1B52D710" w14:textId="6B1DBA16" w:rsidR="00D44823" w:rsidRPr="00CC188B" w:rsidRDefault="00D44823" w:rsidP="00DC55EB">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 xml:space="preserve">Tel.: </w:t>
            </w:r>
            <w:r w:rsidRPr="00D44823">
              <w:rPr>
                <w:rFonts w:ascii="Arial" w:hAnsi="Arial" w:cs="Arial"/>
                <w:color w:val="000000"/>
                <w:sz w:val="16"/>
                <w:szCs w:val="16"/>
              </w:rPr>
              <w:t>618 43 13 89</w:t>
            </w:r>
          </w:p>
          <w:p w14:paraId="0C53A61F" w14:textId="31E7B0E8" w:rsidR="00D44823" w:rsidRPr="004B5032" w:rsidRDefault="00715BBB" w:rsidP="00DC55EB">
            <w:pPr>
              <w:pStyle w:val="NormalWeb"/>
              <w:spacing w:before="0" w:beforeAutospacing="0" w:after="0" w:afterAutospacing="0"/>
              <w:jc w:val="both"/>
              <w:rPr>
                <w:rFonts w:ascii="Arial" w:hAnsi="Arial" w:cs="Arial"/>
                <w:color w:val="1155CC"/>
                <w:sz w:val="16"/>
                <w:szCs w:val="16"/>
                <w:u w:val="single"/>
              </w:rPr>
            </w:pPr>
            <w:hyperlink r:id="rId13" w:history="1">
              <w:r w:rsidR="00D44823" w:rsidRPr="00F6689D">
                <w:rPr>
                  <w:rStyle w:val="Hipervnculo"/>
                  <w:rFonts w:ascii="Arial" w:hAnsi="Arial" w:cs="Arial"/>
                  <w:sz w:val="16"/>
                  <w:szCs w:val="16"/>
                </w:rPr>
                <w:t>rosa@indiepr.es</w:t>
              </w:r>
            </w:hyperlink>
          </w:p>
        </w:tc>
      </w:tr>
      <w:bookmarkEnd w:id="7"/>
      <w:bookmarkEnd w:id="8"/>
      <w:bookmarkEnd w:id="9"/>
      <w:bookmarkEnd w:id="6"/>
    </w:tbl>
    <w:p w14:paraId="0F55B214" w14:textId="77777777" w:rsidR="008E54AD" w:rsidRPr="00DC55EB" w:rsidRDefault="008E54AD" w:rsidP="00090345">
      <w:pPr>
        <w:tabs>
          <w:tab w:val="right" w:pos="8838"/>
        </w:tabs>
        <w:autoSpaceDE w:val="0"/>
        <w:autoSpaceDN w:val="0"/>
        <w:adjustRightInd w:val="0"/>
        <w:jc w:val="both"/>
        <w:rPr>
          <w:rFonts w:ascii="Arial" w:hAnsi="Arial" w:cs="Arial"/>
          <w:b/>
          <w:bCs/>
          <w:sz w:val="16"/>
          <w:szCs w:val="16"/>
        </w:rPr>
      </w:pPr>
    </w:p>
    <w:sectPr w:rsidR="008E54AD" w:rsidRPr="00DC55EB" w:rsidSect="00A966D6">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BC55" w14:textId="77777777" w:rsidR="001C702D" w:rsidRDefault="001C702D">
      <w:r>
        <w:separator/>
      </w:r>
    </w:p>
  </w:endnote>
  <w:endnote w:type="continuationSeparator" w:id="0">
    <w:p w14:paraId="25BE17EC" w14:textId="77777777" w:rsidR="001C702D" w:rsidRDefault="001C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5" name="Imagen 5"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A48C" w14:textId="77777777" w:rsidR="001C702D" w:rsidRDefault="001C702D">
      <w:r>
        <w:separator/>
      </w:r>
    </w:p>
  </w:footnote>
  <w:footnote w:type="continuationSeparator" w:id="0">
    <w:p w14:paraId="7A4A2E82" w14:textId="77777777" w:rsidR="001C702D" w:rsidRDefault="001C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080"/>
    <w:rsid w:val="0003516C"/>
    <w:rsid w:val="00042488"/>
    <w:rsid w:val="000507C4"/>
    <w:rsid w:val="00063579"/>
    <w:rsid w:val="00066C14"/>
    <w:rsid w:val="000869A2"/>
    <w:rsid w:val="00090345"/>
    <w:rsid w:val="000A1973"/>
    <w:rsid w:val="000C41F9"/>
    <w:rsid w:val="000D2B5A"/>
    <w:rsid w:val="000D6AB6"/>
    <w:rsid w:val="000E191A"/>
    <w:rsid w:val="0012170F"/>
    <w:rsid w:val="00124DEA"/>
    <w:rsid w:val="001319E5"/>
    <w:rsid w:val="001324E2"/>
    <w:rsid w:val="001442A6"/>
    <w:rsid w:val="00156E14"/>
    <w:rsid w:val="00171AAA"/>
    <w:rsid w:val="001740C7"/>
    <w:rsid w:val="00181155"/>
    <w:rsid w:val="00190E3D"/>
    <w:rsid w:val="001A2A76"/>
    <w:rsid w:val="001A332D"/>
    <w:rsid w:val="001B39AD"/>
    <w:rsid w:val="001C702D"/>
    <w:rsid w:val="001E7292"/>
    <w:rsid w:val="001F3A45"/>
    <w:rsid w:val="00204E64"/>
    <w:rsid w:val="002059D2"/>
    <w:rsid w:val="00205D68"/>
    <w:rsid w:val="0021069A"/>
    <w:rsid w:val="00212129"/>
    <w:rsid w:val="002246BA"/>
    <w:rsid w:val="00224DE1"/>
    <w:rsid w:val="00231877"/>
    <w:rsid w:val="002331A8"/>
    <w:rsid w:val="0024317A"/>
    <w:rsid w:val="0027680B"/>
    <w:rsid w:val="00281944"/>
    <w:rsid w:val="00294475"/>
    <w:rsid w:val="002A3D92"/>
    <w:rsid w:val="002A78A1"/>
    <w:rsid w:val="002B3F52"/>
    <w:rsid w:val="002C01E7"/>
    <w:rsid w:val="002C02D9"/>
    <w:rsid w:val="002D032D"/>
    <w:rsid w:val="002E4A5C"/>
    <w:rsid w:val="002F2E0A"/>
    <w:rsid w:val="002F4816"/>
    <w:rsid w:val="003006FC"/>
    <w:rsid w:val="003019C9"/>
    <w:rsid w:val="0031490C"/>
    <w:rsid w:val="0032424C"/>
    <w:rsid w:val="00326125"/>
    <w:rsid w:val="00331310"/>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5A50"/>
    <w:rsid w:val="003A6138"/>
    <w:rsid w:val="003C6EC8"/>
    <w:rsid w:val="003D0E85"/>
    <w:rsid w:val="003D4F9E"/>
    <w:rsid w:val="003D6B89"/>
    <w:rsid w:val="00401989"/>
    <w:rsid w:val="00407AD8"/>
    <w:rsid w:val="0041325B"/>
    <w:rsid w:val="0044035B"/>
    <w:rsid w:val="00441AA5"/>
    <w:rsid w:val="00443A21"/>
    <w:rsid w:val="004612C2"/>
    <w:rsid w:val="00485E70"/>
    <w:rsid w:val="00493CFD"/>
    <w:rsid w:val="004958BB"/>
    <w:rsid w:val="00497689"/>
    <w:rsid w:val="004B5032"/>
    <w:rsid w:val="004C0F40"/>
    <w:rsid w:val="004C607E"/>
    <w:rsid w:val="004D1FAF"/>
    <w:rsid w:val="004E23C4"/>
    <w:rsid w:val="004F67EC"/>
    <w:rsid w:val="00512001"/>
    <w:rsid w:val="005201CA"/>
    <w:rsid w:val="00533536"/>
    <w:rsid w:val="00541A7B"/>
    <w:rsid w:val="00546498"/>
    <w:rsid w:val="00547D42"/>
    <w:rsid w:val="00561B53"/>
    <w:rsid w:val="00576DDF"/>
    <w:rsid w:val="00577B92"/>
    <w:rsid w:val="005A7DB1"/>
    <w:rsid w:val="005A7E9C"/>
    <w:rsid w:val="005C33ED"/>
    <w:rsid w:val="005C4439"/>
    <w:rsid w:val="005D1AE9"/>
    <w:rsid w:val="005D5DC2"/>
    <w:rsid w:val="005E0E99"/>
    <w:rsid w:val="005E4173"/>
    <w:rsid w:val="005F1CEB"/>
    <w:rsid w:val="005F3998"/>
    <w:rsid w:val="00600F24"/>
    <w:rsid w:val="006213E2"/>
    <w:rsid w:val="0064466A"/>
    <w:rsid w:val="006515B4"/>
    <w:rsid w:val="00652342"/>
    <w:rsid w:val="00663580"/>
    <w:rsid w:val="00685895"/>
    <w:rsid w:val="00687087"/>
    <w:rsid w:val="00694B11"/>
    <w:rsid w:val="006972C0"/>
    <w:rsid w:val="006A1012"/>
    <w:rsid w:val="006B6CC7"/>
    <w:rsid w:val="006E3790"/>
    <w:rsid w:val="006E3A61"/>
    <w:rsid w:val="006E6724"/>
    <w:rsid w:val="006E6A20"/>
    <w:rsid w:val="00710280"/>
    <w:rsid w:val="00715BBB"/>
    <w:rsid w:val="00720F29"/>
    <w:rsid w:val="0072269E"/>
    <w:rsid w:val="00731C5F"/>
    <w:rsid w:val="00750181"/>
    <w:rsid w:val="00750C5B"/>
    <w:rsid w:val="00763C96"/>
    <w:rsid w:val="007A0082"/>
    <w:rsid w:val="007A0CED"/>
    <w:rsid w:val="007A1361"/>
    <w:rsid w:val="007A74B1"/>
    <w:rsid w:val="007B59D1"/>
    <w:rsid w:val="007B679F"/>
    <w:rsid w:val="007C1C1A"/>
    <w:rsid w:val="007E3CDF"/>
    <w:rsid w:val="00801C70"/>
    <w:rsid w:val="0081638E"/>
    <w:rsid w:val="00822154"/>
    <w:rsid w:val="00824B8D"/>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39F2"/>
    <w:rsid w:val="008E54AD"/>
    <w:rsid w:val="008E730B"/>
    <w:rsid w:val="008F077C"/>
    <w:rsid w:val="008F1BBD"/>
    <w:rsid w:val="00910200"/>
    <w:rsid w:val="00927308"/>
    <w:rsid w:val="00932CB7"/>
    <w:rsid w:val="00942998"/>
    <w:rsid w:val="009436E0"/>
    <w:rsid w:val="0095341D"/>
    <w:rsid w:val="0096266D"/>
    <w:rsid w:val="0097553E"/>
    <w:rsid w:val="00977BE7"/>
    <w:rsid w:val="00980C09"/>
    <w:rsid w:val="00981941"/>
    <w:rsid w:val="009A0E87"/>
    <w:rsid w:val="009A1EB0"/>
    <w:rsid w:val="009A3526"/>
    <w:rsid w:val="009A6F8A"/>
    <w:rsid w:val="009C2675"/>
    <w:rsid w:val="009D3CF7"/>
    <w:rsid w:val="009E6171"/>
    <w:rsid w:val="009F01EA"/>
    <w:rsid w:val="009F1332"/>
    <w:rsid w:val="009F315E"/>
    <w:rsid w:val="009F7DB9"/>
    <w:rsid w:val="009F7E1C"/>
    <w:rsid w:val="00A20F38"/>
    <w:rsid w:val="00A41710"/>
    <w:rsid w:val="00A50B4D"/>
    <w:rsid w:val="00A52AAA"/>
    <w:rsid w:val="00A52E71"/>
    <w:rsid w:val="00A56426"/>
    <w:rsid w:val="00A574BF"/>
    <w:rsid w:val="00A645A2"/>
    <w:rsid w:val="00A7208B"/>
    <w:rsid w:val="00A73C99"/>
    <w:rsid w:val="00A966D6"/>
    <w:rsid w:val="00AA5C1C"/>
    <w:rsid w:val="00AB24A2"/>
    <w:rsid w:val="00AF11D7"/>
    <w:rsid w:val="00AF223E"/>
    <w:rsid w:val="00B03429"/>
    <w:rsid w:val="00B05CD9"/>
    <w:rsid w:val="00B05D48"/>
    <w:rsid w:val="00B116AF"/>
    <w:rsid w:val="00B25727"/>
    <w:rsid w:val="00B5158D"/>
    <w:rsid w:val="00B628EE"/>
    <w:rsid w:val="00B8069B"/>
    <w:rsid w:val="00B963D0"/>
    <w:rsid w:val="00BB1160"/>
    <w:rsid w:val="00BB39D9"/>
    <w:rsid w:val="00BC45B7"/>
    <w:rsid w:val="00BC46BE"/>
    <w:rsid w:val="00BE22AA"/>
    <w:rsid w:val="00BF2547"/>
    <w:rsid w:val="00BF5E11"/>
    <w:rsid w:val="00BF7FDF"/>
    <w:rsid w:val="00C145C5"/>
    <w:rsid w:val="00C536C9"/>
    <w:rsid w:val="00C54617"/>
    <w:rsid w:val="00C61314"/>
    <w:rsid w:val="00C7314E"/>
    <w:rsid w:val="00C76422"/>
    <w:rsid w:val="00C83097"/>
    <w:rsid w:val="00C91CCE"/>
    <w:rsid w:val="00C952AF"/>
    <w:rsid w:val="00CA0905"/>
    <w:rsid w:val="00CC0837"/>
    <w:rsid w:val="00CC188B"/>
    <w:rsid w:val="00CF74FF"/>
    <w:rsid w:val="00D02D48"/>
    <w:rsid w:val="00D04D6F"/>
    <w:rsid w:val="00D076F3"/>
    <w:rsid w:val="00D12D3F"/>
    <w:rsid w:val="00D21BC9"/>
    <w:rsid w:val="00D27B5C"/>
    <w:rsid w:val="00D3343D"/>
    <w:rsid w:val="00D3571D"/>
    <w:rsid w:val="00D36245"/>
    <w:rsid w:val="00D44426"/>
    <w:rsid w:val="00D44823"/>
    <w:rsid w:val="00D63AB2"/>
    <w:rsid w:val="00D64482"/>
    <w:rsid w:val="00D76407"/>
    <w:rsid w:val="00D7641E"/>
    <w:rsid w:val="00D8655C"/>
    <w:rsid w:val="00D90EF8"/>
    <w:rsid w:val="00D92B75"/>
    <w:rsid w:val="00D96635"/>
    <w:rsid w:val="00DA2D0A"/>
    <w:rsid w:val="00DB0F1B"/>
    <w:rsid w:val="00DB45BA"/>
    <w:rsid w:val="00DB5EEF"/>
    <w:rsid w:val="00DC304A"/>
    <w:rsid w:val="00DC55EB"/>
    <w:rsid w:val="00DC6709"/>
    <w:rsid w:val="00DD4924"/>
    <w:rsid w:val="00DF1DDF"/>
    <w:rsid w:val="00DF2519"/>
    <w:rsid w:val="00E10601"/>
    <w:rsid w:val="00E13675"/>
    <w:rsid w:val="00E13BED"/>
    <w:rsid w:val="00E14B59"/>
    <w:rsid w:val="00E151DB"/>
    <w:rsid w:val="00E375F1"/>
    <w:rsid w:val="00E6057E"/>
    <w:rsid w:val="00E640EF"/>
    <w:rsid w:val="00E675C5"/>
    <w:rsid w:val="00E845CF"/>
    <w:rsid w:val="00E909F9"/>
    <w:rsid w:val="00E91772"/>
    <w:rsid w:val="00E93F97"/>
    <w:rsid w:val="00E9600E"/>
    <w:rsid w:val="00EA5DFA"/>
    <w:rsid w:val="00EA7C7E"/>
    <w:rsid w:val="00EB11D6"/>
    <w:rsid w:val="00ED086E"/>
    <w:rsid w:val="00ED4D55"/>
    <w:rsid w:val="00ED788C"/>
    <w:rsid w:val="00EF4233"/>
    <w:rsid w:val="00EF7ED2"/>
    <w:rsid w:val="00F00E57"/>
    <w:rsid w:val="00F03D39"/>
    <w:rsid w:val="00F0730E"/>
    <w:rsid w:val="00F17A4D"/>
    <w:rsid w:val="00F24D52"/>
    <w:rsid w:val="00F34988"/>
    <w:rsid w:val="00F403AB"/>
    <w:rsid w:val="00F45079"/>
    <w:rsid w:val="00F45C5A"/>
    <w:rsid w:val="00F46A83"/>
    <w:rsid w:val="00F5395E"/>
    <w:rsid w:val="00F66A0E"/>
    <w:rsid w:val="00F72967"/>
    <w:rsid w:val="00F73A73"/>
    <w:rsid w:val="00F93A2E"/>
    <w:rsid w:val="00F95E09"/>
    <w:rsid w:val="00FB1381"/>
    <w:rsid w:val="00FB561C"/>
    <w:rsid w:val="00FC3937"/>
    <w:rsid w:val="00FC7D4B"/>
    <w:rsid w:val="00FE6AB0"/>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93413943">
      <w:bodyDiv w:val="1"/>
      <w:marLeft w:val="0"/>
      <w:marRight w:val="0"/>
      <w:marTop w:val="0"/>
      <w:marBottom w:val="0"/>
      <w:divBdr>
        <w:top w:val="none" w:sz="0" w:space="0" w:color="auto"/>
        <w:left w:val="none" w:sz="0" w:space="0" w:color="auto"/>
        <w:bottom w:val="none" w:sz="0" w:space="0" w:color="auto"/>
        <w:right w:val="none" w:sz="0" w:space="0" w:color="auto"/>
      </w:divBdr>
    </w:div>
    <w:div w:id="177212024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sa@indiep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1664-C86E-4AA0-BC64-DDE645A0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1326</Words>
  <Characters>7295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cvillanueva</cp:lastModifiedBy>
  <cp:revision>10</cp:revision>
  <cp:lastPrinted>2022-12-19T17:21:00Z</cp:lastPrinted>
  <dcterms:created xsi:type="dcterms:W3CDTF">2024-03-07T18:48:00Z</dcterms:created>
  <dcterms:modified xsi:type="dcterms:W3CDTF">2024-03-12T09:10:00Z</dcterms:modified>
</cp:coreProperties>
</file>