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54387614" w:rsidR="001A2A76" w:rsidRPr="00687087" w:rsidRDefault="001A2A76" w:rsidP="0009034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F66A0E">
        <w:rPr>
          <w:rFonts w:ascii="Arial" w:eastAsia="Arial" w:hAnsi="Arial" w:cs="Arial"/>
          <w:b/>
          <w:color w:val="000000"/>
          <w:sz w:val="20"/>
          <w:szCs w:val="20"/>
          <w:u w:val="single"/>
        </w:rPr>
        <w:t>enero</w:t>
      </w:r>
      <w:r w:rsidR="00AA5C1C">
        <w:rPr>
          <w:rFonts w:ascii="Arial" w:eastAsia="Arial" w:hAnsi="Arial" w:cs="Arial"/>
          <w:b/>
          <w:color w:val="000000"/>
          <w:sz w:val="20"/>
          <w:szCs w:val="20"/>
          <w:u w:val="single"/>
        </w:rPr>
        <w:t>-</w:t>
      </w:r>
      <w:r w:rsidR="00F66A0E">
        <w:rPr>
          <w:rFonts w:ascii="Arial" w:eastAsia="Arial" w:hAnsi="Arial" w:cs="Arial"/>
          <w:b/>
          <w:color w:val="000000"/>
          <w:sz w:val="20"/>
          <w:szCs w:val="20"/>
          <w:u w:val="single"/>
        </w:rPr>
        <w:t>marzo</w:t>
      </w:r>
      <w:r w:rsidRPr="00687087">
        <w:rPr>
          <w:rFonts w:ascii="Arial" w:eastAsia="Arial" w:hAnsi="Arial" w:cs="Arial"/>
          <w:b/>
          <w:color w:val="000000"/>
          <w:sz w:val="20"/>
          <w:szCs w:val="20"/>
          <w:u w:val="single"/>
        </w:rPr>
        <w:t xml:space="preserve"> 202</w:t>
      </w:r>
      <w:r w:rsidR="00F66A0E">
        <w:rPr>
          <w:rFonts w:ascii="Arial" w:eastAsia="Arial" w:hAnsi="Arial" w:cs="Arial"/>
          <w:b/>
          <w:color w:val="000000"/>
          <w:sz w:val="20"/>
          <w:szCs w:val="20"/>
          <w:u w:val="single"/>
        </w:rPr>
        <w:t>4</w:t>
      </w:r>
    </w:p>
    <w:p w14:paraId="1B9B7597" w14:textId="2193B2B6" w:rsidR="00AA5C1C" w:rsidRDefault="00AA5C1C" w:rsidP="00090345">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L</w:t>
      </w:r>
      <w:r w:rsidR="00443A21">
        <w:rPr>
          <w:rFonts w:ascii="Arial" w:eastAsia="Arial" w:hAnsi="Arial" w:cs="Arial"/>
          <w:b/>
          <w:bCs/>
          <w:sz w:val="36"/>
          <w:szCs w:val="36"/>
        </w:rPr>
        <w:t>as empresas españolas</w:t>
      </w:r>
      <w:r w:rsidR="003D6B89">
        <w:rPr>
          <w:rFonts w:ascii="Arial" w:eastAsia="Arial" w:hAnsi="Arial" w:cs="Arial"/>
          <w:b/>
          <w:bCs/>
          <w:sz w:val="36"/>
          <w:szCs w:val="36"/>
        </w:rPr>
        <w:t xml:space="preserve"> </w:t>
      </w:r>
      <w:r w:rsidR="00750181">
        <w:rPr>
          <w:rFonts w:ascii="Arial" w:eastAsia="Arial" w:hAnsi="Arial" w:cs="Arial"/>
          <w:b/>
          <w:bCs/>
          <w:sz w:val="36"/>
          <w:szCs w:val="36"/>
        </w:rPr>
        <w:t>anticipan un arranque de año</w:t>
      </w:r>
      <w:r w:rsidR="00CC0837">
        <w:rPr>
          <w:rFonts w:ascii="Arial" w:eastAsia="Arial" w:hAnsi="Arial" w:cs="Arial"/>
          <w:b/>
          <w:bCs/>
          <w:sz w:val="36"/>
          <w:szCs w:val="36"/>
        </w:rPr>
        <w:t xml:space="preserve"> en</w:t>
      </w:r>
      <w:r w:rsidR="00750181">
        <w:rPr>
          <w:rFonts w:ascii="Arial" w:eastAsia="Arial" w:hAnsi="Arial" w:cs="Arial"/>
          <w:b/>
          <w:bCs/>
          <w:sz w:val="36"/>
          <w:szCs w:val="36"/>
        </w:rPr>
        <w:t xml:space="preserve"> positivo a </w:t>
      </w:r>
      <w:r w:rsidR="00CC0837">
        <w:rPr>
          <w:rFonts w:ascii="Arial" w:eastAsia="Arial" w:hAnsi="Arial" w:cs="Arial"/>
          <w:b/>
          <w:bCs/>
          <w:sz w:val="36"/>
          <w:szCs w:val="36"/>
        </w:rPr>
        <w:t xml:space="preserve">nivel de </w:t>
      </w:r>
      <w:r w:rsidR="00750181">
        <w:rPr>
          <w:rFonts w:ascii="Arial" w:eastAsia="Arial" w:hAnsi="Arial" w:cs="Arial"/>
          <w:b/>
          <w:bCs/>
          <w:sz w:val="36"/>
          <w:szCs w:val="36"/>
        </w:rPr>
        <w:t>contrataciones</w:t>
      </w:r>
    </w:p>
    <w:p w14:paraId="5631EBBB" w14:textId="7797FF3D" w:rsidR="00443A21" w:rsidRDefault="00443A21" w:rsidP="00090345">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Pr>
          <w:rFonts w:ascii="Arial" w:eastAsia="Arial" w:hAnsi="Arial" w:cs="Arial"/>
          <w:b/>
          <w:sz w:val="23"/>
          <w:szCs w:val="23"/>
        </w:rPr>
        <w:t xml:space="preserve">Con </w:t>
      </w:r>
      <w:r w:rsidR="00750181">
        <w:rPr>
          <w:rFonts w:ascii="Arial" w:eastAsia="Arial" w:hAnsi="Arial" w:cs="Arial"/>
          <w:b/>
          <w:sz w:val="23"/>
          <w:szCs w:val="23"/>
        </w:rPr>
        <w:t>un 19%</w:t>
      </w:r>
      <w:r>
        <w:rPr>
          <w:rFonts w:ascii="Arial" w:eastAsia="Arial" w:hAnsi="Arial" w:cs="Arial"/>
          <w:b/>
          <w:sz w:val="23"/>
          <w:szCs w:val="23"/>
        </w:rPr>
        <w:t xml:space="preserve">, </w:t>
      </w:r>
      <w:r w:rsidR="00750181">
        <w:rPr>
          <w:rFonts w:ascii="Arial" w:eastAsia="Arial" w:hAnsi="Arial" w:cs="Arial"/>
          <w:b/>
          <w:sz w:val="23"/>
          <w:szCs w:val="23"/>
        </w:rPr>
        <w:t xml:space="preserve">son </w:t>
      </w:r>
      <w:r>
        <w:rPr>
          <w:rFonts w:ascii="Arial" w:eastAsia="Arial" w:hAnsi="Arial" w:cs="Arial"/>
          <w:b/>
          <w:sz w:val="23"/>
          <w:szCs w:val="23"/>
        </w:rPr>
        <w:t>más las empresas que prevén contratar (35%) que las que anticipan reducciones de equipos (18%)</w:t>
      </w:r>
      <w:r w:rsidR="00750181">
        <w:rPr>
          <w:rFonts w:ascii="Arial" w:eastAsia="Arial" w:hAnsi="Arial" w:cs="Arial"/>
          <w:b/>
          <w:sz w:val="23"/>
          <w:szCs w:val="23"/>
        </w:rPr>
        <w:t xml:space="preserve"> en los tres primeros meses de 2024</w:t>
      </w:r>
      <w:r>
        <w:rPr>
          <w:rFonts w:ascii="Arial" w:eastAsia="Arial" w:hAnsi="Arial" w:cs="Arial"/>
          <w:b/>
          <w:sz w:val="23"/>
          <w:szCs w:val="23"/>
        </w:rPr>
        <w:t>.</w:t>
      </w:r>
    </w:p>
    <w:p w14:paraId="44AE080C" w14:textId="573F4CA5" w:rsidR="00894DEA" w:rsidRPr="00C145C5" w:rsidRDefault="00443A21" w:rsidP="00090345">
      <w:pPr>
        <w:pStyle w:val="Prrafodelista"/>
        <w:numPr>
          <w:ilvl w:val="0"/>
          <w:numId w:val="1"/>
        </w:numPr>
        <w:spacing w:before="120" w:line="288" w:lineRule="auto"/>
        <w:ind w:left="360"/>
        <w:contextualSpacing w:val="0"/>
        <w:jc w:val="both"/>
        <w:rPr>
          <w:rFonts w:ascii="Arial" w:eastAsia="Arial" w:hAnsi="Arial" w:cs="Arial"/>
          <w:b/>
          <w:bCs/>
          <w:sz w:val="22"/>
          <w:szCs w:val="22"/>
        </w:rPr>
      </w:pPr>
      <w:r>
        <w:rPr>
          <w:rFonts w:ascii="Arial" w:eastAsia="Arial" w:hAnsi="Arial" w:cs="Arial"/>
          <w:b/>
          <w:bCs/>
          <w:sz w:val="22"/>
          <w:szCs w:val="22"/>
        </w:rPr>
        <w:t>Tecnología, Transporte, logística y automoción y Finanzas</w:t>
      </w:r>
      <w:r w:rsidR="003A49AD" w:rsidRPr="00C145C5">
        <w:rPr>
          <w:rFonts w:ascii="Arial" w:eastAsia="Arial" w:hAnsi="Arial" w:cs="Arial"/>
          <w:b/>
          <w:bCs/>
          <w:sz w:val="22"/>
          <w:szCs w:val="22"/>
        </w:rPr>
        <w:t xml:space="preserve"> e Inmobiliario, los </w:t>
      </w:r>
      <w:r w:rsidR="00546498">
        <w:rPr>
          <w:rFonts w:ascii="Arial" w:eastAsia="Arial" w:hAnsi="Arial" w:cs="Arial"/>
          <w:b/>
          <w:bCs/>
          <w:sz w:val="22"/>
          <w:szCs w:val="22"/>
        </w:rPr>
        <w:t xml:space="preserve">sectores </w:t>
      </w:r>
      <w:r w:rsidR="003A49AD" w:rsidRPr="00C145C5">
        <w:rPr>
          <w:rFonts w:ascii="Arial" w:eastAsia="Arial" w:hAnsi="Arial" w:cs="Arial"/>
          <w:b/>
          <w:bCs/>
          <w:sz w:val="22"/>
          <w:szCs w:val="22"/>
        </w:rPr>
        <w:t xml:space="preserve">más optimistas en </w:t>
      </w:r>
      <w:r w:rsidR="00750181">
        <w:rPr>
          <w:rFonts w:ascii="Arial" w:eastAsia="Arial" w:hAnsi="Arial" w:cs="Arial"/>
          <w:b/>
          <w:bCs/>
          <w:sz w:val="22"/>
          <w:szCs w:val="22"/>
        </w:rPr>
        <w:t xml:space="preserve">sus </w:t>
      </w:r>
      <w:r w:rsidR="00546498">
        <w:rPr>
          <w:rFonts w:ascii="Arial" w:eastAsia="Arial" w:hAnsi="Arial" w:cs="Arial"/>
          <w:b/>
          <w:bCs/>
          <w:sz w:val="22"/>
          <w:szCs w:val="22"/>
        </w:rPr>
        <w:t xml:space="preserve">previsiones </w:t>
      </w:r>
      <w:r w:rsidR="003A49AD" w:rsidRPr="00C145C5">
        <w:rPr>
          <w:rFonts w:ascii="Arial" w:eastAsia="Arial" w:hAnsi="Arial" w:cs="Arial"/>
          <w:b/>
          <w:bCs/>
          <w:sz w:val="22"/>
          <w:szCs w:val="22"/>
        </w:rPr>
        <w:t xml:space="preserve">de contratación, con una proyección del </w:t>
      </w:r>
      <w:r>
        <w:rPr>
          <w:rFonts w:ascii="Arial" w:eastAsia="Arial" w:hAnsi="Arial" w:cs="Arial"/>
          <w:b/>
          <w:bCs/>
          <w:sz w:val="22"/>
          <w:szCs w:val="22"/>
        </w:rPr>
        <w:t>31%, 30% y 23%, respectivamente</w:t>
      </w:r>
      <w:r w:rsidR="00750181">
        <w:rPr>
          <w:rFonts w:ascii="Arial" w:eastAsia="Arial" w:hAnsi="Arial" w:cs="Arial"/>
          <w:b/>
          <w:bCs/>
          <w:sz w:val="22"/>
          <w:szCs w:val="22"/>
        </w:rPr>
        <w:t xml:space="preserve">; </w:t>
      </w:r>
      <w:r>
        <w:rPr>
          <w:rFonts w:ascii="Arial" w:eastAsia="Arial" w:hAnsi="Arial" w:cs="Arial"/>
          <w:b/>
          <w:bCs/>
          <w:sz w:val="22"/>
          <w:szCs w:val="22"/>
        </w:rPr>
        <w:t>Publicidad y comunicación</w:t>
      </w:r>
      <w:r w:rsidR="00750181">
        <w:rPr>
          <w:rFonts w:ascii="Arial" w:eastAsia="Arial" w:hAnsi="Arial" w:cs="Arial"/>
          <w:b/>
          <w:bCs/>
          <w:sz w:val="22"/>
          <w:szCs w:val="22"/>
        </w:rPr>
        <w:t>, el menos positivo con un</w:t>
      </w:r>
      <w:r>
        <w:rPr>
          <w:rFonts w:ascii="Arial" w:eastAsia="Arial" w:hAnsi="Arial" w:cs="Arial"/>
          <w:b/>
          <w:bCs/>
          <w:sz w:val="22"/>
          <w:szCs w:val="22"/>
        </w:rPr>
        <w:t xml:space="preserve"> 4%.</w:t>
      </w:r>
    </w:p>
    <w:p w14:paraId="39A43A82" w14:textId="422E3ACB" w:rsidR="00894DEA" w:rsidRDefault="00E640EF" w:rsidP="00090345">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204E64">
        <w:rPr>
          <w:rFonts w:ascii="Arial" w:eastAsia="Arial" w:hAnsi="Arial" w:cs="Arial"/>
          <w:b/>
          <w:bCs/>
          <w:sz w:val="22"/>
          <w:szCs w:val="22"/>
        </w:rPr>
        <w:t>Levante (Comunidad Valenciana y Región de Murcia)</w:t>
      </w:r>
      <w:r w:rsidR="00027080">
        <w:rPr>
          <w:rFonts w:ascii="Arial" w:eastAsia="Arial" w:hAnsi="Arial" w:cs="Arial"/>
          <w:b/>
          <w:bCs/>
          <w:sz w:val="22"/>
          <w:szCs w:val="22"/>
        </w:rPr>
        <w:t xml:space="preserve"> y</w:t>
      </w:r>
      <w:r>
        <w:rPr>
          <w:rFonts w:ascii="Arial" w:eastAsia="Arial" w:hAnsi="Arial" w:cs="Arial"/>
          <w:b/>
          <w:bCs/>
          <w:sz w:val="22"/>
          <w:szCs w:val="22"/>
        </w:rPr>
        <w:t xml:space="preserve"> </w:t>
      </w:r>
      <w:r w:rsidR="003006FC">
        <w:rPr>
          <w:rFonts w:ascii="Arial" w:eastAsia="Arial" w:hAnsi="Arial" w:cs="Arial"/>
          <w:b/>
          <w:bCs/>
          <w:sz w:val="22"/>
          <w:szCs w:val="22"/>
        </w:rPr>
        <w:t>Noreste (</w:t>
      </w:r>
      <w:r w:rsidR="00027080">
        <w:rPr>
          <w:rFonts w:ascii="Arial" w:eastAsia="Arial" w:hAnsi="Arial" w:cs="Arial"/>
          <w:b/>
          <w:bCs/>
          <w:sz w:val="22"/>
          <w:szCs w:val="22"/>
        </w:rPr>
        <w:t>Cataluña y Baleares</w:t>
      </w:r>
      <w:r w:rsidR="003006FC">
        <w:rPr>
          <w:rFonts w:ascii="Arial" w:eastAsia="Arial" w:hAnsi="Arial" w:cs="Arial"/>
          <w:b/>
          <w:bCs/>
          <w:sz w:val="22"/>
          <w:szCs w:val="22"/>
        </w:rPr>
        <w:t xml:space="preserve">), ambas con un </w:t>
      </w:r>
      <w:r w:rsidR="00027080">
        <w:rPr>
          <w:rFonts w:ascii="Arial" w:eastAsia="Arial" w:hAnsi="Arial" w:cs="Arial"/>
          <w:b/>
          <w:bCs/>
          <w:sz w:val="22"/>
          <w:szCs w:val="22"/>
        </w:rPr>
        <w:t>20%</w:t>
      </w:r>
      <w:r w:rsidR="003006FC">
        <w:rPr>
          <w:rFonts w:ascii="Arial" w:eastAsia="Arial" w:hAnsi="Arial" w:cs="Arial"/>
          <w:b/>
          <w:bCs/>
          <w:sz w:val="22"/>
          <w:szCs w:val="22"/>
        </w:rPr>
        <w:t>,</w:t>
      </w:r>
      <w:r w:rsidR="00027080">
        <w:rPr>
          <w:rFonts w:ascii="Arial" w:eastAsia="Arial" w:hAnsi="Arial" w:cs="Arial"/>
          <w:b/>
          <w:bCs/>
          <w:sz w:val="22"/>
          <w:szCs w:val="22"/>
        </w:rPr>
        <w:t xml:space="preserve"> y la zona Centro (</w:t>
      </w:r>
      <w:r w:rsidRPr="00C145C5">
        <w:rPr>
          <w:rFonts w:ascii="Arial" w:eastAsia="Arial" w:hAnsi="Arial" w:cs="Arial"/>
          <w:b/>
          <w:bCs/>
          <w:sz w:val="22"/>
          <w:szCs w:val="22"/>
        </w:rPr>
        <w:t>Comunidad de Madrid y Castilla-La Mancha</w:t>
      </w:r>
      <w:r w:rsidR="00027080">
        <w:rPr>
          <w:rFonts w:ascii="Arial" w:eastAsia="Arial" w:hAnsi="Arial" w:cs="Arial"/>
          <w:b/>
          <w:bCs/>
          <w:sz w:val="22"/>
          <w:szCs w:val="22"/>
        </w:rPr>
        <w:t>)</w:t>
      </w:r>
      <w:r w:rsidRPr="00204E64">
        <w:rPr>
          <w:rFonts w:ascii="Arial" w:eastAsia="Arial" w:hAnsi="Arial" w:cs="Arial"/>
          <w:b/>
          <w:bCs/>
          <w:sz w:val="22"/>
          <w:szCs w:val="22"/>
        </w:rPr>
        <w:t>,</w:t>
      </w:r>
      <w:r w:rsidR="00027080">
        <w:rPr>
          <w:rFonts w:ascii="Arial" w:eastAsia="Arial" w:hAnsi="Arial" w:cs="Arial"/>
          <w:b/>
          <w:bCs/>
          <w:sz w:val="22"/>
          <w:szCs w:val="22"/>
        </w:rPr>
        <w:t xml:space="preserve"> con un 18%, son</w:t>
      </w:r>
      <w:r>
        <w:rPr>
          <w:rFonts w:ascii="Arial" w:eastAsia="Arial" w:hAnsi="Arial" w:cs="Arial"/>
          <w:b/>
          <w:bCs/>
          <w:sz w:val="22"/>
          <w:szCs w:val="22"/>
        </w:rPr>
        <w:t xml:space="preserve"> las </w:t>
      </w:r>
      <w:r w:rsidR="003006FC">
        <w:rPr>
          <w:rFonts w:ascii="Arial" w:eastAsia="Arial" w:hAnsi="Arial" w:cs="Arial"/>
          <w:b/>
          <w:bCs/>
          <w:sz w:val="22"/>
          <w:szCs w:val="22"/>
        </w:rPr>
        <w:t xml:space="preserve">áreas </w:t>
      </w:r>
      <w:r>
        <w:rPr>
          <w:rFonts w:ascii="Arial" w:eastAsia="Arial" w:hAnsi="Arial" w:cs="Arial"/>
          <w:b/>
          <w:bCs/>
          <w:sz w:val="22"/>
          <w:szCs w:val="22"/>
        </w:rPr>
        <w:t xml:space="preserve">más optimistas en creación de empleo </w:t>
      </w:r>
      <w:r w:rsidR="00027080">
        <w:rPr>
          <w:rFonts w:ascii="Arial" w:eastAsia="Arial" w:hAnsi="Arial" w:cs="Arial"/>
          <w:b/>
          <w:bCs/>
          <w:sz w:val="22"/>
          <w:szCs w:val="22"/>
        </w:rPr>
        <w:t>para el primer trimestre de 2024.</w:t>
      </w:r>
    </w:p>
    <w:p w14:paraId="530E54F6" w14:textId="77777777" w:rsidR="003D6B89" w:rsidRPr="00750181" w:rsidRDefault="003D6B89" w:rsidP="00090345">
      <w:pPr>
        <w:spacing w:before="120" w:line="288" w:lineRule="auto"/>
        <w:rPr>
          <w:rFonts w:ascii="Arial" w:eastAsiaTheme="minorEastAsia" w:hAnsi="Arial" w:cs="Arial"/>
          <w:b/>
          <w:bCs/>
          <w:sz w:val="22"/>
          <w:szCs w:val="22"/>
          <w:lang w:eastAsia="zh-CN"/>
        </w:rPr>
      </w:pPr>
    </w:p>
    <w:bookmarkEnd w:id="0"/>
    <w:p w14:paraId="1E6D4014" w14:textId="7051B6F2" w:rsidR="007A1361" w:rsidRDefault="001A2A76" w:rsidP="00090345">
      <w:pPr>
        <w:spacing w:before="120" w:line="288" w:lineRule="auto"/>
        <w:jc w:val="both"/>
        <w:rPr>
          <w:rFonts w:ascii="Arial" w:eastAsia="Arial" w:hAnsi="Arial" w:cs="Arial"/>
          <w:b/>
          <w:sz w:val="22"/>
          <w:szCs w:val="22"/>
        </w:rPr>
      </w:pPr>
      <w:r w:rsidRPr="00204E64">
        <w:rPr>
          <w:rFonts w:ascii="Arial" w:eastAsia="Arial" w:hAnsi="Arial" w:cs="Arial"/>
          <w:b/>
          <w:sz w:val="22"/>
          <w:szCs w:val="22"/>
        </w:rPr>
        <w:t xml:space="preserve">Madrid, </w:t>
      </w:r>
      <w:r w:rsidR="00750181">
        <w:rPr>
          <w:rFonts w:ascii="Arial" w:eastAsia="Arial" w:hAnsi="Arial" w:cs="Arial"/>
          <w:b/>
          <w:sz w:val="22"/>
          <w:szCs w:val="22"/>
        </w:rPr>
        <w:t xml:space="preserve">12 </w:t>
      </w:r>
      <w:r w:rsidR="00380B8C" w:rsidRPr="00204E64">
        <w:rPr>
          <w:rFonts w:ascii="Arial" w:eastAsia="Arial" w:hAnsi="Arial" w:cs="Arial"/>
          <w:b/>
          <w:sz w:val="22"/>
          <w:szCs w:val="22"/>
        </w:rPr>
        <w:t xml:space="preserve">de </w:t>
      </w:r>
      <w:r w:rsidR="00F66A0E">
        <w:rPr>
          <w:rFonts w:ascii="Arial" w:eastAsia="Arial" w:hAnsi="Arial" w:cs="Arial"/>
          <w:b/>
          <w:sz w:val="22"/>
          <w:szCs w:val="22"/>
        </w:rPr>
        <w:t>diciembre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7A1361" w:rsidRPr="007A1361">
        <w:rPr>
          <w:rFonts w:ascii="Arial" w:eastAsia="Arial" w:hAnsi="Arial" w:cs="Arial"/>
          <w:bCs/>
          <w:sz w:val="22"/>
          <w:szCs w:val="22"/>
        </w:rPr>
        <w:t>2024</w:t>
      </w:r>
      <w:r w:rsidR="007A1361">
        <w:rPr>
          <w:rFonts w:ascii="Arial" w:eastAsia="Arial" w:hAnsi="Arial" w:cs="Arial"/>
          <w:b/>
          <w:sz w:val="22"/>
          <w:szCs w:val="22"/>
        </w:rPr>
        <w:t xml:space="preserve"> </w:t>
      </w:r>
      <w:r w:rsidR="00750181">
        <w:rPr>
          <w:rFonts w:ascii="Arial" w:eastAsia="Arial" w:hAnsi="Arial" w:cs="Arial"/>
          <w:bCs/>
          <w:sz w:val="22"/>
          <w:szCs w:val="22"/>
        </w:rPr>
        <w:t xml:space="preserve">comienza </w:t>
      </w:r>
      <w:r w:rsidR="007A1361">
        <w:rPr>
          <w:rFonts w:ascii="Arial" w:eastAsia="Arial" w:hAnsi="Arial" w:cs="Arial"/>
          <w:bCs/>
          <w:sz w:val="22"/>
          <w:szCs w:val="22"/>
        </w:rPr>
        <w:t>para las empresas españolas de la misma forma que el último trimestre del año pasado en cuanto a previsión de contrataciones se refiere</w:t>
      </w:r>
      <w:r w:rsidR="00750181">
        <w:rPr>
          <w:rFonts w:ascii="Arial" w:eastAsia="Arial" w:hAnsi="Arial" w:cs="Arial"/>
          <w:bCs/>
          <w:sz w:val="22"/>
          <w:szCs w:val="22"/>
        </w:rPr>
        <w:t>: en positivo</w:t>
      </w:r>
      <w:r w:rsidR="007A1361">
        <w:rPr>
          <w:rFonts w:ascii="Arial" w:eastAsia="Arial" w:hAnsi="Arial" w:cs="Arial"/>
          <w:bCs/>
          <w:sz w:val="22"/>
          <w:szCs w:val="22"/>
        </w:rPr>
        <w:t xml:space="preserve">. Para el periodo de enero a marzo, </w:t>
      </w:r>
      <w:r w:rsidR="00D44426">
        <w:rPr>
          <w:rFonts w:ascii="Arial" w:eastAsia="Arial" w:hAnsi="Arial" w:cs="Arial"/>
          <w:bCs/>
          <w:sz w:val="22"/>
          <w:szCs w:val="22"/>
        </w:rPr>
        <w:t>e</w:t>
      </w:r>
      <w:r w:rsidR="007A1361" w:rsidRPr="007A1361">
        <w:rPr>
          <w:rFonts w:ascii="Arial" w:eastAsia="Arial" w:hAnsi="Arial" w:cs="Arial"/>
          <w:bCs/>
          <w:sz w:val="22"/>
          <w:szCs w:val="22"/>
        </w:rPr>
        <w:t xml:space="preserve">l mercado </w:t>
      </w:r>
      <w:r w:rsidR="00750181">
        <w:rPr>
          <w:rFonts w:ascii="Arial" w:eastAsia="Arial" w:hAnsi="Arial" w:cs="Arial"/>
          <w:bCs/>
          <w:sz w:val="22"/>
          <w:szCs w:val="22"/>
        </w:rPr>
        <w:t xml:space="preserve">del empleo </w:t>
      </w:r>
      <w:r w:rsidR="007A1361" w:rsidRPr="007A1361">
        <w:rPr>
          <w:rFonts w:ascii="Arial" w:eastAsia="Arial" w:hAnsi="Arial" w:cs="Arial"/>
          <w:bCs/>
          <w:sz w:val="22"/>
          <w:szCs w:val="22"/>
        </w:rPr>
        <w:t xml:space="preserve">español proyecta </w:t>
      </w:r>
      <w:r w:rsidR="00750181">
        <w:rPr>
          <w:rFonts w:ascii="Arial" w:eastAsia="Arial" w:hAnsi="Arial" w:cs="Arial"/>
          <w:bCs/>
          <w:sz w:val="22"/>
          <w:szCs w:val="22"/>
        </w:rPr>
        <w:t>crecimiento</w:t>
      </w:r>
      <w:r w:rsidR="007A1361">
        <w:rPr>
          <w:rFonts w:ascii="Arial" w:eastAsia="Arial" w:hAnsi="Arial" w:cs="Arial"/>
          <w:bCs/>
          <w:sz w:val="22"/>
          <w:szCs w:val="22"/>
        </w:rPr>
        <w:t xml:space="preserve">, pues serán más las empresas </w:t>
      </w:r>
      <w:r w:rsidR="007A1361" w:rsidRPr="007A1361">
        <w:rPr>
          <w:rFonts w:ascii="Arial" w:eastAsia="Arial" w:hAnsi="Arial" w:cs="Arial"/>
          <w:bCs/>
          <w:sz w:val="22"/>
          <w:szCs w:val="22"/>
        </w:rPr>
        <w:t>que prevén contratar (35%), que las que anticipan reducciones de equipos (18%).</w:t>
      </w:r>
      <w:r w:rsidR="007A1361">
        <w:rPr>
          <w:rFonts w:ascii="Arial" w:eastAsia="Arial" w:hAnsi="Arial" w:cs="Arial"/>
          <w:bCs/>
          <w:sz w:val="22"/>
          <w:szCs w:val="22"/>
        </w:rPr>
        <w:t xml:space="preserve"> Así, </w:t>
      </w:r>
      <w:r w:rsidR="007A1361" w:rsidRPr="00204E64">
        <w:rPr>
          <w:rFonts w:ascii="Arial" w:eastAsia="Arial" w:hAnsi="Arial" w:cs="Arial"/>
          <w:b/>
          <w:sz w:val="22"/>
          <w:szCs w:val="22"/>
        </w:rPr>
        <w:t>la pr</w:t>
      </w:r>
      <w:r w:rsidR="007A1361">
        <w:rPr>
          <w:rFonts w:ascii="Arial" w:eastAsia="Arial" w:hAnsi="Arial" w:cs="Arial"/>
          <w:b/>
          <w:sz w:val="22"/>
          <w:szCs w:val="22"/>
        </w:rPr>
        <w:t>evisión</w:t>
      </w:r>
      <w:r w:rsidR="007A1361" w:rsidRPr="00204E64">
        <w:rPr>
          <w:rFonts w:ascii="Arial" w:eastAsia="Arial" w:hAnsi="Arial" w:cs="Arial"/>
          <w:b/>
          <w:sz w:val="22"/>
          <w:szCs w:val="22"/>
        </w:rPr>
        <w:t xml:space="preserve"> neta del Estudio de Proyección de Empleo de ManpowerGroup para el </w:t>
      </w:r>
      <w:r w:rsidR="007A1361">
        <w:rPr>
          <w:rFonts w:ascii="Arial" w:eastAsia="Arial" w:hAnsi="Arial" w:cs="Arial"/>
          <w:b/>
          <w:sz w:val="22"/>
          <w:szCs w:val="22"/>
        </w:rPr>
        <w:t>primer</w:t>
      </w:r>
      <w:r w:rsidR="007A1361" w:rsidRPr="00204E64">
        <w:rPr>
          <w:rFonts w:ascii="Arial" w:eastAsia="Arial" w:hAnsi="Arial" w:cs="Arial"/>
          <w:b/>
          <w:sz w:val="22"/>
          <w:szCs w:val="22"/>
        </w:rPr>
        <w:t xml:space="preserve"> trimestre de 202</w:t>
      </w:r>
      <w:r w:rsidR="007A1361">
        <w:rPr>
          <w:rFonts w:ascii="Arial" w:eastAsia="Arial" w:hAnsi="Arial" w:cs="Arial"/>
          <w:b/>
          <w:sz w:val="22"/>
          <w:szCs w:val="22"/>
        </w:rPr>
        <w:t>4</w:t>
      </w:r>
      <w:r w:rsidR="007A1361" w:rsidRPr="00204E64">
        <w:rPr>
          <w:rFonts w:ascii="Arial" w:eastAsia="Arial" w:hAnsi="Arial" w:cs="Arial"/>
          <w:bCs/>
          <w:sz w:val="22"/>
          <w:szCs w:val="22"/>
        </w:rPr>
        <w:t xml:space="preserve"> </w:t>
      </w:r>
      <w:r w:rsidR="007A1361" w:rsidRPr="00204E64">
        <w:rPr>
          <w:rFonts w:ascii="Arial" w:eastAsia="Arial" w:hAnsi="Arial" w:cs="Arial"/>
          <w:b/>
          <w:sz w:val="22"/>
          <w:szCs w:val="22"/>
        </w:rPr>
        <w:t>se sitúa en el 19</w:t>
      </w:r>
      <w:r w:rsidR="007A1361">
        <w:rPr>
          <w:rFonts w:ascii="Arial" w:eastAsia="Arial" w:hAnsi="Arial" w:cs="Arial"/>
          <w:b/>
          <w:sz w:val="22"/>
          <w:szCs w:val="22"/>
        </w:rPr>
        <w:t>%.</w:t>
      </w:r>
    </w:p>
    <w:p w14:paraId="639749C4" w14:textId="03A83AD9" w:rsidR="007A1361" w:rsidRPr="007A1361" w:rsidRDefault="00750181" w:rsidP="00090345">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 pesar de que </w:t>
      </w:r>
      <w:r w:rsidRPr="007A1361">
        <w:rPr>
          <w:rFonts w:ascii="Arial" w:eastAsia="Arial" w:hAnsi="Arial" w:cs="Arial"/>
          <w:bCs/>
          <w:sz w:val="22"/>
          <w:szCs w:val="22"/>
        </w:rPr>
        <w:t>España se sitúa 7 puntos por debajo de</w:t>
      </w:r>
      <w:r>
        <w:rPr>
          <w:rFonts w:ascii="Arial" w:eastAsia="Arial" w:hAnsi="Arial" w:cs="Arial"/>
          <w:bCs/>
          <w:sz w:val="22"/>
          <w:szCs w:val="22"/>
        </w:rPr>
        <w:t xml:space="preserve"> la media global, </w:t>
      </w:r>
      <w:r w:rsidR="007A1361" w:rsidRPr="007A1361">
        <w:rPr>
          <w:rFonts w:ascii="Arial" w:eastAsia="Arial" w:hAnsi="Arial" w:cs="Arial"/>
          <w:bCs/>
          <w:sz w:val="22"/>
          <w:szCs w:val="22"/>
        </w:rPr>
        <w:t>las expectativas se mantienen estables desde el último trimestre</w:t>
      </w:r>
      <w:r>
        <w:rPr>
          <w:rFonts w:ascii="Arial" w:eastAsia="Arial" w:hAnsi="Arial" w:cs="Arial"/>
          <w:bCs/>
          <w:sz w:val="22"/>
          <w:szCs w:val="22"/>
        </w:rPr>
        <w:t xml:space="preserve"> y crecen </w:t>
      </w:r>
      <w:r w:rsidR="007A1361" w:rsidRPr="007A1361">
        <w:rPr>
          <w:rFonts w:ascii="Arial" w:eastAsia="Arial" w:hAnsi="Arial" w:cs="Arial"/>
          <w:bCs/>
          <w:sz w:val="22"/>
          <w:szCs w:val="22"/>
        </w:rPr>
        <w:t xml:space="preserve">en 16 puntos en comparación con el </w:t>
      </w:r>
      <w:r>
        <w:rPr>
          <w:rFonts w:ascii="Arial" w:eastAsia="Arial" w:hAnsi="Arial" w:cs="Arial"/>
          <w:bCs/>
          <w:sz w:val="22"/>
          <w:szCs w:val="22"/>
        </w:rPr>
        <w:t xml:space="preserve">mismo periodo del </w:t>
      </w:r>
      <w:r w:rsidR="007A1361" w:rsidRPr="007A1361">
        <w:rPr>
          <w:rFonts w:ascii="Arial" w:eastAsia="Arial" w:hAnsi="Arial" w:cs="Arial"/>
          <w:bCs/>
          <w:sz w:val="22"/>
          <w:szCs w:val="22"/>
        </w:rPr>
        <w:t>año anterior.</w:t>
      </w:r>
    </w:p>
    <w:p w14:paraId="53031911" w14:textId="609DC84C" w:rsidR="007A1361" w:rsidRDefault="00204E64" w:rsidP="00090345">
      <w:pPr>
        <w:spacing w:before="120" w:line="288" w:lineRule="auto"/>
        <w:jc w:val="both"/>
        <w:rPr>
          <w:rFonts w:ascii="Arial" w:eastAsia="Arial" w:hAnsi="Arial" w:cs="Arial"/>
          <w:bCs/>
          <w:i/>
          <w:iCs/>
          <w:sz w:val="22"/>
          <w:szCs w:val="22"/>
        </w:rPr>
      </w:pPr>
      <w:r w:rsidRPr="00731C5F">
        <w:rPr>
          <w:rFonts w:ascii="Arial" w:eastAsia="Arial" w:hAnsi="Arial" w:cs="Arial"/>
          <w:b/>
          <w:sz w:val="22"/>
          <w:szCs w:val="22"/>
        </w:rPr>
        <w:t>Francisco Ribeiro, Country Manager de ManpowerGroup</w:t>
      </w:r>
      <w:r w:rsidRPr="00731C5F">
        <w:rPr>
          <w:rFonts w:ascii="Arial" w:eastAsia="Arial" w:hAnsi="Arial" w:cs="Arial"/>
          <w:bCs/>
          <w:sz w:val="22"/>
          <w:szCs w:val="22"/>
        </w:rPr>
        <w:t xml:space="preserve">, </w:t>
      </w:r>
      <w:r w:rsidR="00731C5F" w:rsidRPr="00731C5F">
        <w:rPr>
          <w:rFonts w:ascii="Arial" w:eastAsia="Arial" w:hAnsi="Arial" w:cs="Arial"/>
          <w:bCs/>
          <w:sz w:val="22"/>
          <w:szCs w:val="22"/>
        </w:rPr>
        <w:t xml:space="preserve">ha </w:t>
      </w:r>
      <w:r w:rsidR="007A1361">
        <w:rPr>
          <w:rFonts w:ascii="Arial" w:eastAsia="Arial" w:hAnsi="Arial" w:cs="Arial"/>
          <w:bCs/>
          <w:sz w:val="22"/>
          <w:szCs w:val="22"/>
        </w:rPr>
        <w:t>asegurado que</w:t>
      </w:r>
      <w:r w:rsidR="00731C5F" w:rsidRPr="00731C5F">
        <w:rPr>
          <w:rFonts w:ascii="Arial" w:eastAsia="Arial" w:hAnsi="Arial" w:cs="Arial"/>
          <w:bCs/>
          <w:sz w:val="22"/>
          <w:szCs w:val="22"/>
        </w:rPr>
        <w:t xml:space="preserve">: </w:t>
      </w:r>
      <w:r w:rsidRPr="00731C5F">
        <w:rPr>
          <w:rFonts w:ascii="Arial" w:eastAsia="Arial" w:hAnsi="Arial" w:cs="Arial"/>
          <w:bCs/>
          <w:i/>
          <w:iCs/>
          <w:sz w:val="22"/>
          <w:szCs w:val="22"/>
        </w:rPr>
        <w:t>“</w:t>
      </w:r>
      <w:r w:rsidR="007A1361">
        <w:rPr>
          <w:rFonts w:ascii="Arial" w:eastAsia="Arial" w:hAnsi="Arial" w:cs="Arial"/>
          <w:bCs/>
          <w:i/>
          <w:iCs/>
          <w:sz w:val="22"/>
          <w:szCs w:val="22"/>
        </w:rPr>
        <w:t xml:space="preserve">a pesar de los desafíos económicos actuales, las empresas españolas mantienen su nivel de optimismo de cara a los primeros meses de 2024. </w:t>
      </w:r>
      <w:r w:rsidR="00090345">
        <w:rPr>
          <w:rFonts w:ascii="Arial" w:eastAsia="Arial" w:hAnsi="Arial" w:cs="Arial"/>
          <w:bCs/>
          <w:i/>
          <w:iCs/>
          <w:sz w:val="22"/>
          <w:szCs w:val="22"/>
        </w:rPr>
        <w:t xml:space="preserve">Aunque con matices, se ven previsiones positivas en todos los sectores, regiones y empresas de todos los tamaños. Además, que sectores como </w:t>
      </w:r>
      <w:r w:rsidR="007A1361" w:rsidRPr="006A1012">
        <w:rPr>
          <w:rFonts w:ascii="Arial" w:eastAsia="Arial" w:hAnsi="Arial" w:cs="Arial"/>
          <w:i/>
          <w:iCs/>
          <w:sz w:val="22"/>
          <w:szCs w:val="22"/>
        </w:rPr>
        <w:t>Tecnología</w:t>
      </w:r>
      <w:r w:rsidR="00090345">
        <w:rPr>
          <w:rFonts w:ascii="Arial" w:eastAsia="Arial" w:hAnsi="Arial" w:cs="Arial"/>
          <w:i/>
          <w:iCs/>
          <w:sz w:val="22"/>
          <w:szCs w:val="22"/>
        </w:rPr>
        <w:t xml:space="preserve"> o</w:t>
      </w:r>
      <w:r w:rsidR="007A1361" w:rsidRPr="006A1012">
        <w:rPr>
          <w:rFonts w:ascii="Arial" w:eastAsia="Arial" w:hAnsi="Arial" w:cs="Arial"/>
          <w:i/>
          <w:iCs/>
          <w:sz w:val="22"/>
          <w:szCs w:val="22"/>
        </w:rPr>
        <w:t xml:space="preserve"> Transporte</w:t>
      </w:r>
      <w:r w:rsidR="00090345">
        <w:rPr>
          <w:rFonts w:ascii="Arial" w:eastAsia="Arial" w:hAnsi="Arial" w:cs="Arial"/>
          <w:i/>
          <w:iCs/>
          <w:sz w:val="22"/>
          <w:szCs w:val="22"/>
        </w:rPr>
        <w:t xml:space="preserve"> y</w:t>
      </w:r>
      <w:r w:rsidR="007A1361" w:rsidRPr="006A1012">
        <w:rPr>
          <w:rFonts w:ascii="Arial" w:eastAsia="Arial" w:hAnsi="Arial" w:cs="Arial"/>
          <w:i/>
          <w:iCs/>
          <w:sz w:val="22"/>
          <w:szCs w:val="22"/>
        </w:rPr>
        <w:t xml:space="preserve"> </w:t>
      </w:r>
      <w:r w:rsidR="008F1BBD">
        <w:rPr>
          <w:rFonts w:ascii="Arial" w:eastAsia="Arial" w:hAnsi="Arial" w:cs="Arial"/>
          <w:i/>
          <w:iCs/>
          <w:sz w:val="22"/>
          <w:szCs w:val="22"/>
        </w:rPr>
        <w:t>l</w:t>
      </w:r>
      <w:r w:rsidR="007A1361" w:rsidRPr="006A1012">
        <w:rPr>
          <w:rFonts w:ascii="Arial" w:eastAsia="Arial" w:hAnsi="Arial" w:cs="Arial"/>
          <w:i/>
          <w:iCs/>
          <w:sz w:val="22"/>
          <w:szCs w:val="22"/>
        </w:rPr>
        <w:t xml:space="preserve">ogística </w:t>
      </w:r>
      <w:r w:rsidR="00090345">
        <w:rPr>
          <w:rFonts w:ascii="Arial" w:eastAsia="Arial" w:hAnsi="Arial" w:cs="Arial"/>
          <w:i/>
          <w:iCs/>
          <w:sz w:val="22"/>
          <w:szCs w:val="22"/>
        </w:rPr>
        <w:t xml:space="preserve">sean los </w:t>
      </w:r>
      <w:r w:rsidR="006A1012" w:rsidRPr="006A1012">
        <w:rPr>
          <w:rFonts w:ascii="Arial" w:eastAsia="Arial" w:hAnsi="Arial" w:cs="Arial"/>
          <w:i/>
          <w:iCs/>
          <w:sz w:val="22"/>
          <w:szCs w:val="22"/>
        </w:rPr>
        <w:t xml:space="preserve">que registran mejores previsiones, </w:t>
      </w:r>
      <w:r w:rsidR="00090345">
        <w:rPr>
          <w:rFonts w:ascii="Arial" w:eastAsia="Arial" w:hAnsi="Arial" w:cs="Arial"/>
          <w:i/>
          <w:iCs/>
          <w:sz w:val="22"/>
          <w:szCs w:val="22"/>
        </w:rPr>
        <w:t>es una buena noticia por su valor estratégico</w:t>
      </w:r>
      <w:r w:rsidR="006A1012" w:rsidRPr="006A1012">
        <w:rPr>
          <w:rFonts w:ascii="Arial" w:eastAsia="Arial" w:hAnsi="Arial" w:cs="Arial"/>
          <w:i/>
          <w:iCs/>
          <w:sz w:val="22"/>
          <w:szCs w:val="22"/>
        </w:rPr>
        <w:t>.</w:t>
      </w:r>
      <w:r w:rsidR="00090345">
        <w:rPr>
          <w:rFonts w:ascii="Arial" w:eastAsia="Arial" w:hAnsi="Arial" w:cs="Arial"/>
          <w:i/>
          <w:iCs/>
          <w:sz w:val="22"/>
          <w:szCs w:val="22"/>
        </w:rPr>
        <w:t xml:space="preserve"> Debemos aprovechar esta inercia positiva</w:t>
      </w:r>
      <w:r w:rsidR="006A1012" w:rsidRPr="006A1012">
        <w:rPr>
          <w:rFonts w:ascii="Arial" w:eastAsia="Arial" w:hAnsi="Arial" w:cs="Arial"/>
          <w:i/>
          <w:iCs/>
          <w:sz w:val="22"/>
          <w:szCs w:val="22"/>
        </w:rPr>
        <w:t>”.</w:t>
      </w:r>
    </w:p>
    <w:p w14:paraId="56C6F8F6" w14:textId="77777777" w:rsidR="007A1361" w:rsidRDefault="007A1361" w:rsidP="00090345">
      <w:pPr>
        <w:spacing w:before="120" w:line="288" w:lineRule="auto"/>
        <w:jc w:val="both"/>
        <w:rPr>
          <w:rFonts w:ascii="Arial" w:eastAsia="Arial" w:hAnsi="Arial" w:cs="Arial"/>
          <w:bCs/>
          <w:i/>
          <w:iCs/>
          <w:sz w:val="22"/>
          <w:szCs w:val="22"/>
        </w:rPr>
      </w:pPr>
    </w:p>
    <w:p w14:paraId="54A69743" w14:textId="221A32F0" w:rsidR="006A1012" w:rsidRDefault="006A1012" w:rsidP="00090345">
      <w:pPr>
        <w:spacing w:before="120" w:line="288" w:lineRule="auto"/>
        <w:jc w:val="both"/>
        <w:rPr>
          <w:rFonts w:ascii="Arial" w:eastAsia="Arial" w:hAnsi="Arial" w:cs="Arial"/>
          <w:bCs/>
          <w:sz w:val="22"/>
          <w:szCs w:val="22"/>
        </w:rPr>
      </w:pPr>
      <w:r>
        <w:rPr>
          <w:rFonts w:ascii="Arial" w:eastAsia="Arial" w:hAnsi="Arial" w:cs="Arial"/>
          <w:b/>
          <w:bCs/>
          <w:sz w:val="22"/>
          <w:szCs w:val="22"/>
        </w:rPr>
        <w:t>Tecnología, Transporte, logística y automoción y Finanzas</w:t>
      </w:r>
      <w:r w:rsidRPr="00C145C5">
        <w:rPr>
          <w:rFonts w:ascii="Arial" w:eastAsia="Arial" w:hAnsi="Arial" w:cs="Arial"/>
          <w:b/>
          <w:bCs/>
          <w:sz w:val="22"/>
          <w:szCs w:val="22"/>
        </w:rPr>
        <w:t xml:space="preserve"> e Inmobiliario, los </w:t>
      </w:r>
      <w:r>
        <w:rPr>
          <w:rFonts w:ascii="Arial" w:eastAsia="Arial" w:hAnsi="Arial" w:cs="Arial"/>
          <w:b/>
          <w:bCs/>
          <w:sz w:val="22"/>
          <w:szCs w:val="22"/>
        </w:rPr>
        <w:t xml:space="preserve">sectores </w:t>
      </w:r>
      <w:r w:rsidRPr="00C145C5">
        <w:rPr>
          <w:rFonts w:ascii="Arial" w:eastAsia="Arial" w:hAnsi="Arial" w:cs="Arial"/>
          <w:b/>
          <w:bCs/>
          <w:sz w:val="22"/>
          <w:szCs w:val="22"/>
        </w:rPr>
        <w:t>más optimistas</w:t>
      </w:r>
    </w:p>
    <w:p w14:paraId="2E089A8B" w14:textId="2642B47E" w:rsidR="006A1012" w:rsidRDefault="003006FC" w:rsidP="00090345">
      <w:pPr>
        <w:spacing w:before="120" w:line="288" w:lineRule="auto"/>
        <w:jc w:val="both"/>
        <w:rPr>
          <w:rFonts w:ascii="Arial" w:eastAsia="Arial" w:hAnsi="Arial" w:cs="Arial"/>
          <w:bCs/>
          <w:sz w:val="22"/>
          <w:szCs w:val="22"/>
        </w:rPr>
      </w:pPr>
      <w:r>
        <w:rPr>
          <w:rFonts w:ascii="Arial" w:eastAsia="Arial" w:hAnsi="Arial" w:cs="Arial"/>
          <w:bCs/>
          <w:sz w:val="22"/>
          <w:szCs w:val="22"/>
        </w:rPr>
        <w:t>En España, l</w:t>
      </w:r>
      <w:r w:rsidR="006A1012" w:rsidRPr="006A1012">
        <w:rPr>
          <w:rFonts w:ascii="Arial" w:eastAsia="Arial" w:hAnsi="Arial" w:cs="Arial"/>
          <w:bCs/>
          <w:sz w:val="22"/>
          <w:szCs w:val="22"/>
        </w:rPr>
        <w:t xml:space="preserve">os 9 sectores </w:t>
      </w:r>
      <w:r w:rsidR="00090345">
        <w:rPr>
          <w:rFonts w:ascii="Arial" w:eastAsia="Arial" w:hAnsi="Arial" w:cs="Arial"/>
          <w:bCs/>
          <w:sz w:val="22"/>
          <w:szCs w:val="22"/>
        </w:rPr>
        <w:t xml:space="preserve">analizados </w:t>
      </w:r>
      <w:r w:rsidR="006A1012" w:rsidRPr="006A1012">
        <w:rPr>
          <w:rFonts w:ascii="Arial" w:eastAsia="Arial" w:hAnsi="Arial" w:cs="Arial"/>
          <w:bCs/>
          <w:sz w:val="22"/>
          <w:szCs w:val="22"/>
        </w:rPr>
        <w:t>anticipan contrataci</w:t>
      </w:r>
      <w:r w:rsidR="00090345">
        <w:rPr>
          <w:rFonts w:ascii="Arial" w:eastAsia="Arial" w:hAnsi="Arial" w:cs="Arial"/>
          <w:bCs/>
          <w:sz w:val="22"/>
          <w:szCs w:val="22"/>
        </w:rPr>
        <w:t>ones</w:t>
      </w:r>
      <w:r w:rsidR="006A1012" w:rsidRPr="006A1012">
        <w:rPr>
          <w:rFonts w:ascii="Arial" w:eastAsia="Arial" w:hAnsi="Arial" w:cs="Arial"/>
          <w:bCs/>
          <w:sz w:val="22"/>
          <w:szCs w:val="22"/>
        </w:rPr>
        <w:t xml:space="preserve"> en el próximo trimestre</w:t>
      </w:r>
      <w:r w:rsidR="00090345">
        <w:rPr>
          <w:rFonts w:ascii="Arial" w:eastAsia="Arial" w:hAnsi="Arial" w:cs="Arial"/>
          <w:bCs/>
          <w:sz w:val="22"/>
          <w:szCs w:val="22"/>
        </w:rPr>
        <w:t xml:space="preserve"> y todos mejoran las previsiones de</w:t>
      </w:r>
      <w:r w:rsidR="006A1012">
        <w:rPr>
          <w:rFonts w:ascii="Arial" w:eastAsia="Arial" w:hAnsi="Arial" w:cs="Arial"/>
          <w:bCs/>
          <w:sz w:val="22"/>
          <w:szCs w:val="22"/>
        </w:rPr>
        <w:t>l mismo periodo del año anterior</w:t>
      </w:r>
      <w:r w:rsidR="006A1012" w:rsidRPr="006A1012">
        <w:rPr>
          <w:rFonts w:ascii="Arial" w:eastAsia="Arial" w:hAnsi="Arial" w:cs="Arial"/>
          <w:bCs/>
          <w:sz w:val="22"/>
          <w:szCs w:val="22"/>
        </w:rPr>
        <w:t xml:space="preserve">. </w:t>
      </w:r>
      <w:r w:rsidR="006A1012">
        <w:rPr>
          <w:rFonts w:ascii="Arial" w:eastAsia="Arial" w:hAnsi="Arial" w:cs="Arial"/>
          <w:bCs/>
          <w:sz w:val="22"/>
          <w:szCs w:val="22"/>
        </w:rPr>
        <w:t xml:space="preserve">Sin embargo, comparados con </w:t>
      </w:r>
      <w:r>
        <w:rPr>
          <w:rFonts w:ascii="Arial" w:eastAsia="Arial" w:hAnsi="Arial" w:cs="Arial"/>
          <w:bCs/>
          <w:sz w:val="22"/>
          <w:szCs w:val="22"/>
        </w:rPr>
        <w:t xml:space="preserve">los tres últimos meses de </w:t>
      </w:r>
      <w:r w:rsidR="006A1012">
        <w:rPr>
          <w:rFonts w:ascii="Arial" w:eastAsia="Arial" w:hAnsi="Arial" w:cs="Arial"/>
          <w:bCs/>
          <w:sz w:val="22"/>
          <w:szCs w:val="22"/>
        </w:rPr>
        <w:t xml:space="preserve">2023, </w:t>
      </w:r>
      <w:r w:rsidR="006A1012" w:rsidRPr="006A1012">
        <w:rPr>
          <w:rFonts w:ascii="Arial" w:eastAsia="Arial" w:hAnsi="Arial" w:cs="Arial"/>
          <w:bCs/>
          <w:sz w:val="22"/>
          <w:szCs w:val="22"/>
        </w:rPr>
        <w:t>se han debilitado en 6 de l</w:t>
      </w:r>
      <w:r w:rsidR="00090345">
        <w:rPr>
          <w:rFonts w:ascii="Arial" w:eastAsia="Arial" w:hAnsi="Arial" w:cs="Arial"/>
          <w:bCs/>
          <w:sz w:val="22"/>
          <w:szCs w:val="22"/>
        </w:rPr>
        <w:t>a</w:t>
      </w:r>
      <w:r w:rsidR="006A1012" w:rsidRPr="006A1012">
        <w:rPr>
          <w:rFonts w:ascii="Arial" w:eastAsia="Arial" w:hAnsi="Arial" w:cs="Arial"/>
          <w:bCs/>
          <w:sz w:val="22"/>
          <w:szCs w:val="22"/>
        </w:rPr>
        <w:t xml:space="preserve">s 9 </w:t>
      </w:r>
      <w:r w:rsidR="00090345">
        <w:rPr>
          <w:rFonts w:ascii="Arial" w:eastAsia="Arial" w:hAnsi="Arial" w:cs="Arial"/>
          <w:bCs/>
          <w:sz w:val="22"/>
          <w:szCs w:val="22"/>
        </w:rPr>
        <w:t xml:space="preserve">industrias, creciendo en los </w:t>
      </w:r>
      <w:r w:rsidR="006A1012" w:rsidRPr="006A1012">
        <w:rPr>
          <w:rFonts w:ascii="Arial" w:eastAsia="Arial" w:hAnsi="Arial" w:cs="Arial"/>
          <w:bCs/>
          <w:sz w:val="22"/>
          <w:szCs w:val="22"/>
        </w:rPr>
        <w:t>3</w:t>
      </w:r>
      <w:r w:rsidR="00090345">
        <w:rPr>
          <w:rFonts w:ascii="Arial" w:eastAsia="Arial" w:hAnsi="Arial" w:cs="Arial"/>
          <w:bCs/>
          <w:sz w:val="22"/>
          <w:szCs w:val="22"/>
        </w:rPr>
        <w:t xml:space="preserve"> restantes</w:t>
      </w:r>
      <w:r w:rsidR="006A1012" w:rsidRPr="006A1012">
        <w:rPr>
          <w:rFonts w:ascii="Arial" w:eastAsia="Arial" w:hAnsi="Arial" w:cs="Arial"/>
          <w:bCs/>
          <w:sz w:val="22"/>
          <w:szCs w:val="22"/>
        </w:rPr>
        <w:t>.</w:t>
      </w:r>
    </w:p>
    <w:p w14:paraId="49533007" w14:textId="101F50D3" w:rsidR="006A1012" w:rsidRDefault="006A1012" w:rsidP="00090345">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En concreto, el </w:t>
      </w:r>
      <w:r w:rsidRPr="006E3790">
        <w:rPr>
          <w:rFonts w:ascii="Arial" w:eastAsia="Arial" w:hAnsi="Arial" w:cs="Arial"/>
          <w:b/>
          <w:sz w:val="22"/>
          <w:szCs w:val="22"/>
        </w:rPr>
        <w:t xml:space="preserve">sector más optimista en cuanto a sus </w:t>
      </w:r>
      <w:r w:rsidR="006E3790" w:rsidRPr="006E3790">
        <w:rPr>
          <w:rFonts w:ascii="Arial" w:eastAsia="Arial" w:hAnsi="Arial" w:cs="Arial"/>
          <w:b/>
          <w:sz w:val="22"/>
          <w:szCs w:val="22"/>
        </w:rPr>
        <w:t>previsiones</w:t>
      </w:r>
      <w:r w:rsidRPr="006E3790">
        <w:rPr>
          <w:rFonts w:ascii="Arial" w:eastAsia="Arial" w:hAnsi="Arial" w:cs="Arial"/>
          <w:b/>
          <w:sz w:val="22"/>
          <w:szCs w:val="22"/>
        </w:rPr>
        <w:t xml:space="preserve"> de generación de empl</w:t>
      </w:r>
      <w:r w:rsidR="006E3790" w:rsidRPr="006E3790">
        <w:rPr>
          <w:rFonts w:ascii="Arial" w:eastAsia="Arial" w:hAnsi="Arial" w:cs="Arial"/>
          <w:b/>
          <w:sz w:val="22"/>
          <w:szCs w:val="22"/>
        </w:rPr>
        <w:t>e</w:t>
      </w:r>
      <w:r w:rsidRPr="006E3790">
        <w:rPr>
          <w:rFonts w:ascii="Arial" w:eastAsia="Arial" w:hAnsi="Arial" w:cs="Arial"/>
          <w:b/>
          <w:sz w:val="22"/>
          <w:szCs w:val="22"/>
        </w:rPr>
        <w:t>o es Tecnología</w:t>
      </w:r>
      <w:r w:rsidR="006E3790" w:rsidRPr="006E3790">
        <w:rPr>
          <w:rFonts w:ascii="Arial" w:eastAsia="Arial" w:hAnsi="Arial" w:cs="Arial"/>
          <w:b/>
          <w:sz w:val="22"/>
          <w:szCs w:val="22"/>
        </w:rPr>
        <w:t>, con una proyección neta del 31%,</w:t>
      </w:r>
      <w:r w:rsidR="006E3790">
        <w:rPr>
          <w:rFonts w:ascii="Arial" w:eastAsia="Arial" w:hAnsi="Arial" w:cs="Arial"/>
          <w:bCs/>
          <w:sz w:val="22"/>
          <w:szCs w:val="22"/>
        </w:rPr>
        <w:t xml:space="preserve"> lo que supone un</w:t>
      </w:r>
      <w:r w:rsidRPr="006A1012">
        <w:rPr>
          <w:rFonts w:ascii="Arial" w:eastAsia="Arial" w:hAnsi="Arial" w:cs="Arial"/>
          <w:bCs/>
          <w:sz w:val="22"/>
          <w:szCs w:val="22"/>
        </w:rPr>
        <w:t xml:space="preserve"> aumento de 11 puntos porcentuales desde el último trimestre</w:t>
      </w:r>
      <w:r w:rsidR="006E3790">
        <w:rPr>
          <w:rFonts w:ascii="Arial" w:eastAsia="Arial" w:hAnsi="Arial" w:cs="Arial"/>
          <w:bCs/>
          <w:sz w:val="22"/>
          <w:szCs w:val="22"/>
        </w:rPr>
        <w:t xml:space="preserve"> de 2023</w:t>
      </w:r>
      <w:r w:rsidRPr="006A1012">
        <w:rPr>
          <w:rFonts w:ascii="Arial" w:eastAsia="Arial" w:hAnsi="Arial" w:cs="Arial"/>
          <w:bCs/>
          <w:sz w:val="22"/>
          <w:szCs w:val="22"/>
        </w:rPr>
        <w:t xml:space="preserve"> y 23 puntos desde el primer trimestre de 2023. Este sector reporta el mayor crecimiento en expectativas desde el trimestre anterior.</w:t>
      </w:r>
    </w:p>
    <w:p w14:paraId="4EC33FFA" w14:textId="1F2513C3" w:rsidR="00190E3D" w:rsidRDefault="006E3790" w:rsidP="00090345">
      <w:pPr>
        <w:spacing w:before="120" w:line="288" w:lineRule="auto"/>
        <w:jc w:val="both"/>
        <w:rPr>
          <w:rFonts w:ascii="Arial" w:eastAsia="Arial" w:hAnsi="Arial" w:cs="Arial"/>
          <w:b/>
          <w:bCs/>
          <w:sz w:val="22"/>
          <w:szCs w:val="22"/>
        </w:rPr>
      </w:pPr>
      <w:r>
        <w:rPr>
          <w:rFonts w:ascii="Arial" w:eastAsia="Arial" w:hAnsi="Arial" w:cs="Arial"/>
          <w:bCs/>
          <w:sz w:val="22"/>
          <w:szCs w:val="22"/>
        </w:rPr>
        <w:t xml:space="preserve">Le sigue de cerca </w:t>
      </w:r>
      <w:r>
        <w:rPr>
          <w:rFonts w:ascii="Arial" w:eastAsia="Arial" w:hAnsi="Arial" w:cs="Arial"/>
          <w:b/>
          <w:bCs/>
          <w:sz w:val="22"/>
          <w:szCs w:val="22"/>
        </w:rPr>
        <w:t>Transporte, logística y automoción, tan solo un punto por debajo (30%)</w:t>
      </w:r>
      <w:r w:rsidR="003006FC">
        <w:rPr>
          <w:rFonts w:ascii="Arial" w:eastAsia="Arial" w:hAnsi="Arial" w:cs="Arial"/>
          <w:sz w:val="22"/>
          <w:szCs w:val="22"/>
        </w:rPr>
        <w:t>, tras crecer en 2 puntos.</w:t>
      </w:r>
      <w:r w:rsidRPr="003006FC">
        <w:rPr>
          <w:rFonts w:ascii="Arial" w:eastAsia="Arial" w:hAnsi="Arial" w:cs="Arial"/>
          <w:sz w:val="22"/>
          <w:szCs w:val="22"/>
        </w:rPr>
        <w:t xml:space="preserve"> </w:t>
      </w:r>
      <w:r w:rsidRPr="006E3790">
        <w:rPr>
          <w:rFonts w:ascii="Arial" w:eastAsia="Arial" w:hAnsi="Arial" w:cs="Arial"/>
          <w:sz w:val="22"/>
          <w:szCs w:val="22"/>
        </w:rPr>
        <w:t>Cierra el top 3 el sector</w:t>
      </w:r>
      <w:r>
        <w:rPr>
          <w:rFonts w:ascii="Arial" w:eastAsia="Arial" w:hAnsi="Arial" w:cs="Arial"/>
          <w:b/>
          <w:bCs/>
          <w:sz w:val="22"/>
          <w:szCs w:val="22"/>
        </w:rPr>
        <w:t xml:space="preserve"> Financiero</w:t>
      </w:r>
      <w:r w:rsidRPr="00C145C5">
        <w:rPr>
          <w:rFonts w:ascii="Arial" w:eastAsia="Arial" w:hAnsi="Arial" w:cs="Arial"/>
          <w:b/>
          <w:bCs/>
          <w:sz w:val="22"/>
          <w:szCs w:val="22"/>
        </w:rPr>
        <w:t xml:space="preserve"> e Inmobiliario</w:t>
      </w:r>
      <w:r>
        <w:rPr>
          <w:rFonts w:ascii="Arial" w:eastAsia="Arial" w:hAnsi="Arial" w:cs="Arial"/>
          <w:b/>
          <w:bCs/>
          <w:sz w:val="22"/>
          <w:szCs w:val="22"/>
        </w:rPr>
        <w:t xml:space="preserve"> que, aunque desciende 3 puntos con respecto al último trimestre </w:t>
      </w:r>
      <w:r w:rsidR="008F1BBD">
        <w:rPr>
          <w:rFonts w:ascii="Arial" w:eastAsia="Arial" w:hAnsi="Arial" w:cs="Arial"/>
          <w:b/>
          <w:bCs/>
          <w:sz w:val="22"/>
          <w:szCs w:val="22"/>
        </w:rPr>
        <w:t>de 2023</w:t>
      </w:r>
      <w:r>
        <w:rPr>
          <w:rFonts w:ascii="Arial" w:eastAsia="Arial" w:hAnsi="Arial" w:cs="Arial"/>
          <w:b/>
          <w:bCs/>
          <w:sz w:val="22"/>
          <w:szCs w:val="22"/>
        </w:rPr>
        <w:t>, registra para comienzos de 2024 unas previsiones de empleo del 23%.</w:t>
      </w:r>
    </w:p>
    <w:p w14:paraId="49CAF945" w14:textId="6C73E1A0" w:rsidR="006A1012" w:rsidRDefault="006E3790" w:rsidP="00090345">
      <w:pPr>
        <w:spacing w:before="120" w:line="288" w:lineRule="auto"/>
        <w:jc w:val="both"/>
        <w:rPr>
          <w:rFonts w:ascii="Arial" w:eastAsia="Arial" w:hAnsi="Arial" w:cs="Arial"/>
          <w:b/>
          <w:sz w:val="22"/>
          <w:szCs w:val="22"/>
        </w:rPr>
      </w:pPr>
      <w:r w:rsidRPr="00204E64">
        <w:rPr>
          <w:rFonts w:ascii="Arial" w:eastAsia="Arial" w:hAnsi="Arial" w:cs="Arial"/>
          <w:bCs/>
          <w:sz w:val="22"/>
          <w:szCs w:val="22"/>
        </w:rPr>
        <w:t>Tras est</w:t>
      </w:r>
      <w:r>
        <w:rPr>
          <w:rFonts w:ascii="Arial" w:eastAsia="Arial" w:hAnsi="Arial" w:cs="Arial"/>
          <w:bCs/>
          <w:sz w:val="22"/>
          <w:szCs w:val="22"/>
        </w:rPr>
        <w:t>os</w:t>
      </w:r>
      <w:r w:rsidRPr="00204E64">
        <w:rPr>
          <w:rFonts w:ascii="Arial" w:eastAsia="Arial" w:hAnsi="Arial" w:cs="Arial"/>
          <w:bCs/>
          <w:sz w:val="22"/>
          <w:szCs w:val="22"/>
        </w:rPr>
        <w:t xml:space="preserve">, se sitúan </w:t>
      </w:r>
      <w:r>
        <w:rPr>
          <w:rFonts w:ascii="Arial" w:eastAsia="Arial" w:hAnsi="Arial" w:cs="Arial"/>
          <w:b/>
          <w:sz w:val="22"/>
          <w:szCs w:val="22"/>
        </w:rPr>
        <w:t xml:space="preserve">Energía y suministros (18%) </w:t>
      </w:r>
      <w:r w:rsidR="00190E3D">
        <w:rPr>
          <w:rFonts w:ascii="Arial" w:eastAsia="Arial" w:hAnsi="Arial" w:cs="Arial"/>
          <w:b/>
          <w:sz w:val="22"/>
          <w:szCs w:val="22"/>
        </w:rPr>
        <w:t>e</w:t>
      </w:r>
      <w:r>
        <w:rPr>
          <w:rFonts w:ascii="Arial" w:eastAsia="Arial" w:hAnsi="Arial" w:cs="Arial"/>
          <w:b/>
          <w:sz w:val="22"/>
          <w:szCs w:val="22"/>
        </w:rPr>
        <w:t xml:space="preserve"> Industria (17%), </w:t>
      </w:r>
      <w:r w:rsidRPr="00190E3D">
        <w:rPr>
          <w:rFonts w:ascii="Arial" w:eastAsia="Arial" w:hAnsi="Arial" w:cs="Arial"/>
          <w:bCs/>
          <w:sz w:val="22"/>
          <w:szCs w:val="22"/>
        </w:rPr>
        <w:t>mientras que</w:t>
      </w:r>
      <w:r w:rsidR="00190E3D">
        <w:rPr>
          <w:rFonts w:ascii="Arial" w:eastAsia="Arial" w:hAnsi="Arial" w:cs="Arial"/>
          <w:b/>
          <w:sz w:val="22"/>
          <w:szCs w:val="22"/>
        </w:rPr>
        <w:t xml:space="preserve"> Salud y farmacia, Bienes y servicios de consumo y el resto de </w:t>
      </w:r>
      <w:proofErr w:type="gramStart"/>
      <w:r w:rsidR="00190E3D">
        <w:rPr>
          <w:rFonts w:ascii="Arial" w:eastAsia="Arial" w:hAnsi="Arial" w:cs="Arial"/>
          <w:b/>
          <w:sz w:val="22"/>
          <w:szCs w:val="22"/>
        </w:rPr>
        <w:t>sectores</w:t>
      </w:r>
      <w:proofErr w:type="gramEnd"/>
      <w:r w:rsidR="00190E3D">
        <w:rPr>
          <w:rFonts w:ascii="Arial" w:eastAsia="Arial" w:hAnsi="Arial" w:cs="Arial"/>
          <w:b/>
          <w:sz w:val="22"/>
          <w:szCs w:val="22"/>
        </w:rPr>
        <w:t xml:space="preserve"> proyectan una estimación del 11%. </w:t>
      </w:r>
      <w:r>
        <w:rPr>
          <w:rFonts w:ascii="Arial" w:eastAsia="Arial" w:hAnsi="Arial" w:cs="Arial"/>
          <w:b/>
          <w:bCs/>
          <w:sz w:val="22"/>
          <w:szCs w:val="22"/>
        </w:rPr>
        <w:t>Publicidad y comunicación es el sector meno</w:t>
      </w:r>
      <w:r w:rsidR="00190E3D">
        <w:rPr>
          <w:rFonts w:ascii="Arial" w:eastAsia="Arial" w:hAnsi="Arial" w:cs="Arial"/>
          <w:b/>
          <w:bCs/>
          <w:sz w:val="22"/>
          <w:szCs w:val="22"/>
        </w:rPr>
        <w:t>s optimista</w:t>
      </w:r>
      <w:r w:rsidR="008F1BBD">
        <w:rPr>
          <w:rFonts w:ascii="Arial" w:eastAsia="Arial" w:hAnsi="Arial" w:cs="Arial"/>
          <w:b/>
          <w:bCs/>
          <w:sz w:val="22"/>
          <w:szCs w:val="22"/>
        </w:rPr>
        <w:t>,</w:t>
      </w:r>
      <w:r w:rsidR="00190E3D">
        <w:rPr>
          <w:rFonts w:ascii="Arial" w:eastAsia="Arial" w:hAnsi="Arial" w:cs="Arial"/>
          <w:b/>
          <w:bCs/>
          <w:sz w:val="22"/>
          <w:szCs w:val="22"/>
        </w:rPr>
        <w:t xml:space="preserve"> </w:t>
      </w:r>
      <w:r w:rsidR="00190E3D" w:rsidRPr="00204E64">
        <w:rPr>
          <w:rFonts w:ascii="Arial" w:eastAsia="Arial" w:hAnsi="Arial" w:cs="Arial"/>
          <w:b/>
          <w:sz w:val="22"/>
          <w:szCs w:val="22"/>
        </w:rPr>
        <w:t xml:space="preserve">con una previsión neta del </w:t>
      </w:r>
      <w:r w:rsidR="00190E3D">
        <w:rPr>
          <w:rFonts w:ascii="Arial" w:eastAsia="Arial" w:hAnsi="Arial" w:cs="Arial"/>
          <w:b/>
          <w:sz w:val="22"/>
          <w:szCs w:val="22"/>
        </w:rPr>
        <w:t>4</w:t>
      </w:r>
      <w:r w:rsidR="00190E3D" w:rsidRPr="00204E64">
        <w:rPr>
          <w:rFonts w:ascii="Arial" w:eastAsia="Arial" w:hAnsi="Arial" w:cs="Arial"/>
          <w:b/>
          <w:sz w:val="22"/>
          <w:szCs w:val="22"/>
        </w:rPr>
        <w:t>%,</w:t>
      </w:r>
      <w:r w:rsidR="00190E3D">
        <w:rPr>
          <w:rFonts w:ascii="Arial" w:eastAsia="Arial" w:hAnsi="Arial" w:cs="Arial"/>
          <w:b/>
          <w:sz w:val="22"/>
          <w:szCs w:val="22"/>
        </w:rPr>
        <w:t xml:space="preserve"> </w:t>
      </w:r>
      <w:r w:rsidR="00190E3D" w:rsidRPr="00190E3D">
        <w:rPr>
          <w:rFonts w:ascii="Arial" w:eastAsia="Arial" w:hAnsi="Arial" w:cs="Arial"/>
          <w:bCs/>
          <w:sz w:val="22"/>
          <w:szCs w:val="22"/>
        </w:rPr>
        <w:t>8 puntos menos que en el periodo de octubre a diciembre de 2023.</w:t>
      </w:r>
    </w:p>
    <w:p w14:paraId="441E993A" w14:textId="632DD84E" w:rsidR="00204E64" w:rsidRPr="00190E3D" w:rsidRDefault="006E3790" w:rsidP="00090345">
      <w:pPr>
        <w:spacing w:before="120" w:line="288" w:lineRule="auto"/>
        <w:jc w:val="both"/>
        <w:rPr>
          <w:rFonts w:ascii="Arial" w:eastAsia="Arial" w:hAnsi="Arial" w:cs="Arial"/>
          <w:bCs/>
          <w:sz w:val="22"/>
          <w:szCs w:val="22"/>
        </w:rPr>
      </w:pPr>
      <w:r w:rsidRPr="006A1012">
        <w:rPr>
          <w:rFonts w:ascii="Arial" w:eastAsia="Arial" w:hAnsi="Arial" w:cs="Arial"/>
          <w:bCs/>
          <w:noProof/>
          <w:sz w:val="22"/>
          <w:szCs w:val="22"/>
        </w:rPr>
        <w:drawing>
          <wp:inline distT="0" distB="0" distL="0" distR="0" wp14:anchorId="085EF84A" wp14:editId="68D37CD5">
            <wp:extent cx="5760085" cy="1645920"/>
            <wp:effectExtent l="0" t="0" r="0" b="0"/>
            <wp:docPr id="1747838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8243" name=""/>
                    <pic:cNvPicPr/>
                  </pic:nvPicPr>
                  <pic:blipFill>
                    <a:blip r:embed="rId7"/>
                    <a:stretch>
                      <a:fillRect/>
                    </a:stretch>
                  </pic:blipFill>
                  <pic:spPr>
                    <a:xfrm>
                      <a:off x="0" y="0"/>
                      <a:ext cx="5760085" cy="1645920"/>
                    </a:xfrm>
                    <a:prstGeom prst="rect">
                      <a:avLst/>
                    </a:prstGeom>
                  </pic:spPr>
                </pic:pic>
              </a:graphicData>
            </a:graphic>
          </wp:inline>
        </w:drawing>
      </w:r>
    </w:p>
    <w:p w14:paraId="19052327" w14:textId="574318E3" w:rsidR="00204E64" w:rsidRPr="00687087" w:rsidRDefault="00204E64"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40297AF5" w14:textId="77777777" w:rsidR="000166E0" w:rsidRPr="00204E64" w:rsidRDefault="000166E0" w:rsidP="00090345">
      <w:pPr>
        <w:spacing w:before="120" w:line="288" w:lineRule="auto"/>
        <w:jc w:val="both"/>
        <w:rPr>
          <w:rFonts w:ascii="Arial" w:eastAsia="Arial" w:hAnsi="Arial" w:cs="Arial"/>
          <w:bCs/>
          <w:sz w:val="22"/>
          <w:szCs w:val="22"/>
        </w:rPr>
      </w:pPr>
    </w:p>
    <w:p w14:paraId="02DBB1F8" w14:textId="53BAB349" w:rsidR="006E6724" w:rsidRPr="00204E64" w:rsidRDefault="003006FC" w:rsidP="00090345">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El arco </w:t>
      </w:r>
      <w:r w:rsidR="00190E3D">
        <w:rPr>
          <w:rFonts w:ascii="Arial" w:eastAsia="Arial" w:hAnsi="Arial" w:cs="Arial"/>
          <w:b/>
          <w:bCs/>
          <w:sz w:val="22"/>
          <w:szCs w:val="22"/>
        </w:rPr>
        <w:t>mediterráne</w:t>
      </w:r>
      <w:r>
        <w:rPr>
          <w:rFonts w:ascii="Arial" w:eastAsia="Arial" w:hAnsi="Arial" w:cs="Arial"/>
          <w:b/>
          <w:bCs/>
          <w:sz w:val="22"/>
          <w:szCs w:val="22"/>
        </w:rPr>
        <w:t>o</w:t>
      </w:r>
      <w:r w:rsidR="00190E3D">
        <w:rPr>
          <w:rFonts w:ascii="Arial" w:eastAsia="Arial" w:hAnsi="Arial" w:cs="Arial"/>
          <w:b/>
          <w:bCs/>
          <w:sz w:val="22"/>
          <w:szCs w:val="22"/>
        </w:rPr>
        <w:t xml:space="preserve">, a </w:t>
      </w:r>
      <w:r w:rsidR="00750C5B" w:rsidRPr="00204E64">
        <w:rPr>
          <w:rFonts w:ascii="Arial" w:eastAsia="Arial" w:hAnsi="Arial" w:cs="Arial"/>
          <w:b/>
          <w:bCs/>
          <w:sz w:val="22"/>
          <w:szCs w:val="22"/>
        </w:rPr>
        <w:t xml:space="preserve">la cabeza en </w:t>
      </w:r>
      <w:r w:rsidR="00731C5F">
        <w:rPr>
          <w:rFonts w:ascii="Arial" w:eastAsia="Arial" w:hAnsi="Arial" w:cs="Arial"/>
          <w:b/>
          <w:bCs/>
          <w:sz w:val="22"/>
          <w:szCs w:val="22"/>
        </w:rPr>
        <w:t xml:space="preserve">las previsiones de creación </w:t>
      </w:r>
      <w:r w:rsidR="00750C5B" w:rsidRPr="00204E64">
        <w:rPr>
          <w:rFonts w:ascii="Arial" w:eastAsia="Arial" w:hAnsi="Arial" w:cs="Arial"/>
          <w:b/>
          <w:bCs/>
          <w:sz w:val="22"/>
          <w:szCs w:val="22"/>
        </w:rPr>
        <w:t>de empleo</w:t>
      </w:r>
    </w:p>
    <w:p w14:paraId="53FE2065" w14:textId="05C45F09" w:rsidR="002F4816" w:rsidRDefault="00190E3D" w:rsidP="00090345">
      <w:pPr>
        <w:spacing w:before="120" w:line="288" w:lineRule="auto"/>
        <w:jc w:val="both"/>
        <w:rPr>
          <w:rFonts w:ascii="Arial" w:eastAsia="Arial" w:hAnsi="Arial" w:cs="Arial"/>
          <w:sz w:val="22"/>
          <w:szCs w:val="22"/>
        </w:rPr>
      </w:pPr>
      <w:r>
        <w:rPr>
          <w:rFonts w:ascii="Arial" w:eastAsia="Arial" w:hAnsi="Arial" w:cs="Arial"/>
          <w:sz w:val="22"/>
          <w:szCs w:val="22"/>
        </w:rPr>
        <w:t xml:space="preserve">La tendencia positiva se mantiene también por </w:t>
      </w:r>
      <w:r w:rsidR="003006FC">
        <w:rPr>
          <w:rFonts w:ascii="Arial" w:eastAsia="Arial" w:hAnsi="Arial" w:cs="Arial"/>
          <w:sz w:val="22"/>
          <w:szCs w:val="22"/>
        </w:rPr>
        <w:t>zonas</w:t>
      </w:r>
      <w:r>
        <w:rPr>
          <w:rFonts w:ascii="Arial" w:eastAsia="Arial" w:hAnsi="Arial" w:cs="Arial"/>
          <w:sz w:val="22"/>
          <w:szCs w:val="22"/>
        </w:rPr>
        <w:t xml:space="preserve">, siendo </w:t>
      </w:r>
      <w:r w:rsidR="002F2E0A">
        <w:rPr>
          <w:rFonts w:ascii="Arial" w:eastAsia="Arial" w:hAnsi="Arial" w:cs="Arial"/>
          <w:sz w:val="22"/>
          <w:szCs w:val="22"/>
        </w:rPr>
        <w:t xml:space="preserve">el </w:t>
      </w:r>
      <w:r w:rsidR="002F2E0A" w:rsidRPr="00204E64">
        <w:rPr>
          <w:rFonts w:ascii="Arial" w:eastAsia="Arial" w:hAnsi="Arial" w:cs="Arial"/>
          <w:b/>
          <w:bCs/>
          <w:sz w:val="22"/>
          <w:szCs w:val="22"/>
        </w:rPr>
        <w:t>Levante (Comunidad Valenciana y Región de Murcia)</w:t>
      </w:r>
      <w:r w:rsidR="002F2E0A">
        <w:rPr>
          <w:rFonts w:ascii="Arial" w:eastAsia="Arial" w:hAnsi="Arial" w:cs="Arial"/>
          <w:b/>
          <w:bCs/>
          <w:sz w:val="22"/>
          <w:szCs w:val="22"/>
        </w:rPr>
        <w:t xml:space="preserve"> y </w:t>
      </w:r>
      <w:r w:rsidR="003006FC">
        <w:rPr>
          <w:rFonts w:ascii="Arial" w:eastAsia="Arial" w:hAnsi="Arial" w:cs="Arial"/>
          <w:b/>
          <w:bCs/>
          <w:sz w:val="22"/>
          <w:szCs w:val="22"/>
        </w:rPr>
        <w:t>Noreste (</w:t>
      </w:r>
      <w:r w:rsidR="002F2E0A" w:rsidRPr="00204E64">
        <w:rPr>
          <w:rFonts w:ascii="Arial" w:eastAsia="Arial" w:hAnsi="Arial" w:cs="Arial"/>
          <w:b/>
          <w:bCs/>
          <w:sz w:val="22"/>
          <w:szCs w:val="22"/>
        </w:rPr>
        <w:t>Cataluña y Baleares</w:t>
      </w:r>
      <w:r w:rsidR="003006FC">
        <w:rPr>
          <w:rFonts w:ascii="Arial" w:eastAsia="Arial" w:hAnsi="Arial" w:cs="Arial"/>
          <w:b/>
          <w:bCs/>
          <w:sz w:val="22"/>
          <w:szCs w:val="22"/>
        </w:rPr>
        <w:t>)</w:t>
      </w:r>
      <w:r w:rsidR="002F2E0A" w:rsidRPr="00204E64">
        <w:rPr>
          <w:rFonts w:ascii="Arial" w:eastAsia="Arial" w:hAnsi="Arial" w:cs="Arial"/>
          <w:b/>
          <w:bCs/>
          <w:sz w:val="22"/>
          <w:szCs w:val="22"/>
        </w:rPr>
        <w:t xml:space="preserve"> </w:t>
      </w:r>
      <w:r w:rsidR="002F2E0A">
        <w:rPr>
          <w:rFonts w:ascii="Arial" w:eastAsia="Arial" w:hAnsi="Arial" w:cs="Arial"/>
          <w:b/>
          <w:bCs/>
          <w:sz w:val="22"/>
          <w:szCs w:val="22"/>
        </w:rPr>
        <w:t>l</w:t>
      </w:r>
      <w:r w:rsidR="003006FC">
        <w:rPr>
          <w:rFonts w:ascii="Arial" w:eastAsia="Arial" w:hAnsi="Arial" w:cs="Arial"/>
          <w:b/>
          <w:bCs/>
          <w:sz w:val="22"/>
          <w:szCs w:val="22"/>
        </w:rPr>
        <w:t>a</w:t>
      </w:r>
      <w:r w:rsidR="002F2E0A">
        <w:rPr>
          <w:rFonts w:ascii="Arial" w:eastAsia="Arial" w:hAnsi="Arial" w:cs="Arial"/>
          <w:b/>
          <w:bCs/>
          <w:sz w:val="22"/>
          <w:szCs w:val="22"/>
        </w:rPr>
        <w:t xml:space="preserve">s más optimistas en cuanto a generación de empleo, con una proyección neta del 20%. </w:t>
      </w:r>
      <w:r w:rsidR="002F4816" w:rsidRPr="002F4816">
        <w:rPr>
          <w:rFonts w:ascii="Arial" w:eastAsia="Arial" w:hAnsi="Arial" w:cs="Arial"/>
          <w:sz w:val="22"/>
          <w:szCs w:val="22"/>
        </w:rPr>
        <w:t>Amb</w:t>
      </w:r>
      <w:r w:rsidR="003006FC">
        <w:rPr>
          <w:rFonts w:ascii="Arial" w:eastAsia="Arial" w:hAnsi="Arial" w:cs="Arial"/>
          <w:sz w:val="22"/>
          <w:szCs w:val="22"/>
        </w:rPr>
        <w:t>o</w:t>
      </w:r>
      <w:r w:rsidR="002F4816" w:rsidRPr="002F4816">
        <w:rPr>
          <w:rFonts w:ascii="Arial" w:eastAsia="Arial" w:hAnsi="Arial" w:cs="Arial"/>
          <w:sz w:val="22"/>
          <w:szCs w:val="22"/>
        </w:rPr>
        <w:t xml:space="preserve">s </w:t>
      </w:r>
      <w:r w:rsidR="003006FC">
        <w:rPr>
          <w:rFonts w:ascii="Arial" w:eastAsia="Arial" w:hAnsi="Arial" w:cs="Arial"/>
          <w:sz w:val="22"/>
          <w:szCs w:val="22"/>
        </w:rPr>
        <w:t xml:space="preserve">territorios </w:t>
      </w:r>
      <w:r w:rsidR="002F4816" w:rsidRPr="002F4816">
        <w:rPr>
          <w:rFonts w:ascii="Arial" w:eastAsia="Arial" w:hAnsi="Arial" w:cs="Arial"/>
          <w:sz w:val="22"/>
          <w:szCs w:val="22"/>
        </w:rPr>
        <w:t xml:space="preserve">han crecido 13 y 15 puntos </w:t>
      </w:r>
      <w:r w:rsidR="003006FC" w:rsidRPr="002F4816">
        <w:rPr>
          <w:rFonts w:ascii="Arial" w:eastAsia="Arial" w:hAnsi="Arial" w:cs="Arial"/>
          <w:sz w:val="22"/>
          <w:szCs w:val="22"/>
        </w:rPr>
        <w:t>respectivamente</w:t>
      </w:r>
      <w:r w:rsidR="002F4816" w:rsidRPr="002F4816">
        <w:rPr>
          <w:rFonts w:ascii="Arial" w:eastAsia="Arial" w:hAnsi="Arial" w:cs="Arial"/>
          <w:sz w:val="22"/>
          <w:szCs w:val="22"/>
        </w:rPr>
        <w:t xml:space="preserve"> </w:t>
      </w:r>
      <w:r w:rsidR="003006FC">
        <w:rPr>
          <w:rFonts w:ascii="Arial" w:eastAsia="Arial" w:hAnsi="Arial" w:cs="Arial"/>
          <w:sz w:val="22"/>
          <w:szCs w:val="22"/>
        </w:rPr>
        <w:t xml:space="preserve">en comparación con </w:t>
      </w:r>
      <w:r w:rsidR="002F4816" w:rsidRPr="002F4816">
        <w:rPr>
          <w:rFonts w:ascii="Arial" w:eastAsia="Arial" w:hAnsi="Arial" w:cs="Arial"/>
          <w:sz w:val="22"/>
          <w:szCs w:val="22"/>
        </w:rPr>
        <w:t>el primer trimestre de 2023.</w:t>
      </w:r>
    </w:p>
    <w:p w14:paraId="170508B2" w14:textId="72537310" w:rsidR="00190E3D" w:rsidRDefault="002F2E0A" w:rsidP="00090345">
      <w:pPr>
        <w:spacing w:before="120" w:line="288" w:lineRule="auto"/>
        <w:jc w:val="both"/>
        <w:rPr>
          <w:rFonts w:ascii="Arial" w:eastAsia="Arial" w:hAnsi="Arial" w:cs="Arial"/>
          <w:sz w:val="22"/>
          <w:szCs w:val="22"/>
        </w:rPr>
      </w:pPr>
      <w:r w:rsidRPr="00AF223E">
        <w:rPr>
          <w:rFonts w:ascii="Arial" w:eastAsia="Arial" w:hAnsi="Arial" w:cs="Arial"/>
          <w:b/>
          <w:bCs/>
          <w:sz w:val="22"/>
          <w:szCs w:val="22"/>
        </w:rPr>
        <w:t xml:space="preserve">La zona Centro (Comunidad de Madrid y Castilla-La Mancha), </w:t>
      </w:r>
      <w:r w:rsidRPr="00AF223E">
        <w:rPr>
          <w:rFonts w:ascii="Arial" w:eastAsia="Arial" w:hAnsi="Arial" w:cs="Arial"/>
          <w:sz w:val="22"/>
          <w:szCs w:val="22"/>
        </w:rPr>
        <w:t>pese a que desciende 9 puntos en sus estimaciones y se coloca un punto por debajo de la media nacional, se mantiene dentro del ranking de las más optimistas, con un 18%.</w:t>
      </w:r>
    </w:p>
    <w:p w14:paraId="705C330C" w14:textId="47CC0520" w:rsidR="002F2E0A" w:rsidRPr="00AF223E" w:rsidRDefault="002F2E0A" w:rsidP="00090345">
      <w:pPr>
        <w:spacing w:before="120" w:line="288" w:lineRule="auto"/>
        <w:jc w:val="both"/>
        <w:rPr>
          <w:rFonts w:ascii="Arial" w:eastAsia="Arial" w:hAnsi="Arial" w:cs="Arial"/>
          <w:sz w:val="22"/>
          <w:szCs w:val="22"/>
        </w:rPr>
      </w:pPr>
      <w:r w:rsidRPr="002F2E0A">
        <w:rPr>
          <w:rFonts w:ascii="Arial" w:eastAsia="Arial" w:hAnsi="Arial" w:cs="Arial"/>
          <w:sz w:val="22"/>
          <w:szCs w:val="22"/>
        </w:rPr>
        <w:t xml:space="preserve">Por su parte, la </w:t>
      </w:r>
      <w:r w:rsidRPr="002F2E0A">
        <w:rPr>
          <w:rFonts w:ascii="Arial" w:eastAsia="Arial" w:hAnsi="Arial" w:cs="Arial"/>
          <w:b/>
          <w:bCs/>
          <w:sz w:val="22"/>
          <w:szCs w:val="22"/>
        </w:rPr>
        <w:t>zona</w:t>
      </w:r>
      <w:r>
        <w:rPr>
          <w:rFonts w:ascii="Arial" w:eastAsia="Arial" w:hAnsi="Arial" w:cs="Arial"/>
          <w:b/>
          <w:bCs/>
          <w:sz w:val="22"/>
          <w:szCs w:val="22"/>
        </w:rPr>
        <w:t xml:space="preserve"> Noroeste </w:t>
      </w:r>
      <w:r>
        <w:rPr>
          <w:rFonts w:ascii="Arial" w:eastAsiaTheme="minorEastAsia" w:hAnsi="Arial" w:cs="Arial"/>
          <w:b/>
          <w:bCs/>
          <w:sz w:val="22"/>
          <w:szCs w:val="22"/>
          <w:lang w:eastAsia="zh-CN"/>
        </w:rPr>
        <w:t xml:space="preserve">(Galicia, Asturias y Castilla y León) </w:t>
      </w:r>
      <w:r w:rsidR="004B5032" w:rsidRPr="004B5032">
        <w:rPr>
          <w:rFonts w:ascii="Arial" w:eastAsiaTheme="minorEastAsia" w:hAnsi="Arial" w:cs="Arial"/>
          <w:sz w:val="22"/>
          <w:szCs w:val="22"/>
          <w:lang w:eastAsia="zh-CN"/>
        </w:rPr>
        <w:t>retrocede 7 puntos respecto al trimestre anterior</w:t>
      </w:r>
      <w:r w:rsidR="004B5032">
        <w:rPr>
          <w:rFonts w:ascii="Arial" w:eastAsiaTheme="minorEastAsia" w:hAnsi="Arial" w:cs="Arial"/>
          <w:sz w:val="22"/>
          <w:szCs w:val="22"/>
          <w:lang w:eastAsia="zh-CN"/>
        </w:rPr>
        <w:t>; y</w:t>
      </w:r>
      <w:r w:rsidRPr="002F2E0A">
        <w:rPr>
          <w:rFonts w:ascii="Arial" w:eastAsiaTheme="minorEastAsia" w:hAnsi="Arial" w:cs="Arial"/>
          <w:sz w:val="22"/>
          <w:szCs w:val="22"/>
          <w:lang w:eastAsia="zh-CN"/>
        </w:rPr>
        <w:t xml:space="preserve"> la</w:t>
      </w:r>
      <w:r>
        <w:rPr>
          <w:rFonts w:ascii="Arial" w:eastAsiaTheme="minorEastAsia" w:hAnsi="Arial" w:cs="Arial"/>
          <w:b/>
          <w:bCs/>
          <w:sz w:val="22"/>
          <w:szCs w:val="22"/>
          <w:lang w:eastAsia="zh-CN"/>
        </w:rPr>
        <w:t xml:space="preserve"> zona Sur </w:t>
      </w:r>
      <w:r w:rsidRPr="002F2E0A">
        <w:rPr>
          <w:rFonts w:ascii="Arial" w:eastAsiaTheme="minorEastAsia" w:hAnsi="Arial" w:cs="Arial"/>
          <w:sz w:val="22"/>
          <w:szCs w:val="22"/>
          <w:lang w:eastAsia="zh-CN"/>
        </w:rPr>
        <w:t xml:space="preserve">las incrementa </w:t>
      </w:r>
      <w:r w:rsidR="004B5032">
        <w:rPr>
          <w:rFonts w:ascii="Arial" w:eastAsiaTheme="minorEastAsia" w:hAnsi="Arial" w:cs="Arial"/>
          <w:sz w:val="22"/>
          <w:szCs w:val="22"/>
          <w:lang w:eastAsia="zh-CN"/>
        </w:rPr>
        <w:t xml:space="preserve">en </w:t>
      </w:r>
      <w:r w:rsidRPr="002F2E0A">
        <w:rPr>
          <w:rFonts w:ascii="Arial" w:eastAsiaTheme="minorEastAsia" w:hAnsi="Arial" w:cs="Arial"/>
          <w:sz w:val="22"/>
          <w:szCs w:val="22"/>
          <w:lang w:eastAsia="zh-CN"/>
        </w:rPr>
        <w:t>un 1 punto</w:t>
      </w:r>
      <w:r w:rsidR="004B5032">
        <w:rPr>
          <w:rFonts w:ascii="Arial" w:eastAsiaTheme="minorEastAsia" w:hAnsi="Arial" w:cs="Arial"/>
          <w:sz w:val="22"/>
          <w:szCs w:val="22"/>
          <w:lang w:eastAsia="zh-CN"/>
        </w:rPr>
        <w:t xml:space="preserve"> para que a</w:t>
      </w:r>
      <w:r w:rsidRPr="002F2E0A">
        <w:rPr>
          <w:rFonts w:ascii="Arial" w:eastAsiaTheme="minorEastAsia" w:hAnsi="Arial" w:cs="Arial"/>
          <w:sz w:val="22"/>
          <w:szCs w:val="22"/>
          <w:lang w:eastAsia="zh-CN"/>
        </w:rPr>
        <w:t>mba</w:t>
      </w:r>
      <w:r w:rsidRPr="00AF223E">
        <w:rPr>
          <w:rFonts w:ascii="Arial" w:eastAsiaTheme="minorEastAsia" w:hAnsi="Arial" w:cs="Arial"/>
          <w:sz w:val="22"/>
          <w:szCs w:val="22"/>
          <w:lang w:eastAsia="zh-CN"/>
        </w:rPr>
        <w:t>s registr</w:t>
      </w:r>
      <w:r w:rsidR="004B5032">
        <w:rPr>
          <w:rFonts w:ascii="Arial" w:eastAsiaTheme="minorEastAsia" w:hAnsi="Arial" w:cs="Arial"/>
          <w:sz w:val="22"/>
          <w:szCs w:val="22"/>
          <w:lang w:eastAsia="zh-CN"/>
        </w:rPr>
        <w:t>e</w:t>
      </w:r>
      <w:r w:rsidRPr="00AF223E">
        <w:rPr>
          <w:rFonts w:ascii="Arial" w:eastAsiaTheme="minorEastAsia" w:hAnsi="Arial" w:cs="Arial"/>
          <w:sz w:val="22"/>
          <w:szCs w:val="22"/>
          <w:lang w:eastAsia="zh-CN"/>
        </w:rPr>
        <w:t>n una proyección neta del 16%.</w:t>
      </w:r>
      <w:r w:rsidRPr="00AF223E">
        <w:t xml:space="preserve"> </w:t>
      </w:r>
      <w:r w:rsidRPr="00AF223E">
        <w:rPr>
          <w:rFonts w:ascii="Arial" w:eastAsiaTheme="minorEastAsia" w:hAnsi="Arial" w:cs="Arial"/>
          <w:sz w:val="22"/>
          <w:szCs w:val="22"/>
          <w:lang w:eastAsia="zh-CN"/>
        </w:rPr>
        <w:t xml:space="preserve">La zona </w:t>
      </w:r>
      <w:r w:rsidRPr="004B5032">
        <w:rPr>
          <w:rFonts w:ascii="Arial" w:eastAsiaTheme="minorEastAsia" w:hAnsi="Arial" w:cs="Arial"/>
          <w:b/>
          <w:bCs/>
          <w:sz w:val="22"/>
          <w:szCs w:val="22"/>
          <w:lang w:eastAsia="zh-CN"/>
        </w:rPr>
        <w:t>Norte</w:t>
      </w:r>
      <w:r w:rsidRPr="00AF223E">
        <w:rPr>
          <w:rFonts w:ascii="Arial" w:eastAsiaTheme="minorEastAsia" w:hAnsi="Arial" w:cs="Arial"/>
          <w:sz w:val="22"/>
          <w:szCs w:val="22"/>
          <w:lang w:eastAsia="zh-CN"/>
        </w:rPr>
        <w:t xml:space="preserve"> (Aragón, Cantabria, La Rioja, Navarra y País Vasco) crece 2 puntos con respecto al último trimestre de 2023, </w:t>
      </w:r>
      <w:r w:rsidR="00AF223E" w:rsidRPr="00AF223E">
        <w:rPr>
          <w:rFonts w:ascii="Arial" w:eastAsiaTheme="minorEastAsia" w:hAnsi="Arial" w:cs="Arial"/>
          <w:sz w:val="22"/>
          <w:szCs w:val="22"/>
          <w:lang w:eastAsia="zh-CN"/>
        </w:rPr>
        <w:t xml:space="preserve">pero </w:t>
      </w:r>
      <w:r w:rsidRPr="00AF223E">
        <w:rPr>
          <w:rFonts w:ascii="Arial" w:eastAsiaTheme="minorEastAsia" w:hAnsi="Arial" w:cs="Arial"/>
          <w:sz w:val="22"/>
          <w:szCs w:val="22"/>
          <w:lang w:eastAsia="zh-CN"/>
        </w:rPr>
        <w:t>continúa siendo la región más prudente, con una estimación del 10% en contrataciones.</w:t>
      </w:r>
    </w:p>
    <w:p w14:paraId="23A27BD1" w14:textId="1F7EF40F" w:rsidR="002F2E0A" w:rsidRDefault="004B5032" w:rsidP="00090345">
      <w:pPr>
        <w:spacing w:before="120" w:line="288"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4B770069" wp14:editId="18937B67">
            <wp:extent cx="5811520" cy="196996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587" cy="1974729"/>
                    </a:xfrm>
                    <a:prstGeom prst="rect">
                      <a:avLst/>
                    </a:prstGeom>
                    <a:noFill/>
                  </pic:spPr>
                </pic:pic>
              </a:graphicData>
            </a:graphic>
          </wp:inline>
        </w:drawing>
      </w:r>
    </w:p>
    <w:p w14:paraId="75BF2141" w14:textId="2B74D78B" w:rsidR="002F2E0A" w:rsidRDefault="00731C5F"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bookmarkEnd w:id="5"/>
    <w:p w14:paraId="0068BA4B" w14:textId="77777777" w:rsidR="002F4816" w:rsidRDefault="002F4816" w:rsidP="00090345">
      <w:pPr>
        <w:spacing w:before="120" w:line="288" w:lineRule="auto"/>
        <w:jc w:val="both"/>
        <w:rPr>
          <w:rFonts w:ascii="Arial" w:eastAsiaTheme="minorEastAsia" w:hAnsi="Arial" w:cs="Arial"/>
          <w:b/>
          <w:bCs/>
          <w:sz w:val="22"/>
          <w:szCs w:val="22"/>
          <w:lang w:eastAsia="zh-CN"/>
        </w:rPr>
      </w:pPr>
    </w:p>
    <w:p w14:paraId="4FEED6A1" w14:textId="47CF8D33" w:rsidR="00D3343D" w:rsidRPr="00204E64" w:rsidRDefault="00D3343D" w:rsidP="00090345">
      <w:pPr>
        <w:spacing w:before="120" w:line="288" w:lineRule="auto"/>
        <w:jc w:val="both"/>
        <w:rPr>
          <w:rFonts w:ascii="Arial" w:eastAsiaTheme="minorEastAsia" w:hAnsi="Arial" w:cs="Arial"/>
          <w:b/>
          <w:bCs/>
          <w:sz w:val="22"/>
          <w:szCs w:val="22"/>
          <w:lang w:eastAsia="zh-CN"/>
        </w:rPr>
      </w:pPr>
      <w:r w:rsidRPr="00204E64">
        <w:rPr>
          <w:rFonts w:ascii="Arial" w:eastAsiaTheme="minorEastAsia" w:hAnsi="Arial" w:cs="Arial"/>
          <w:b/>
          <w:bCs/>
          <w:sz w:val="22"/>
          <w:szCs w:val="22"/>
          <w:lang w:eastAsia="zh-CN"/>
        </w:rPr>
        <w:t>La</w:t>
      </w:r>
      <w:r w:rsidR="00731C5F">
        <w:rPr>
          <w:rFonts w:ascii="Arial" w:eastAsiaTheme="minorEastAsia" w:hAnsi="Arial" w:cs="Arial"/>
          <w:b/>
          <w:bCs/>
          <w:sz w:val="22"/>
          <w:szCs w:val="22"/>
          <w:lang w:eastAsia="zh-CN"/>
        </w:rPr>
        <w:t>s grandes empresas son las más predispuestas a contratar</w:t>
      </w:r>
    </w:p>
    <w:p w14:paraId="6B24E008" w14:textId="102C1376" w:rsidR="00027080" w:rsidRDefault="002F4816" w:rsidP="00090345">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Las empresas españolas, independientemente de su tamaño, esperan </w:t>
      </w:r>
      <w:r w:rsidRPr="002F4816">
        <w:rPr>
          <w:rFonts w:ascii="Arial" w:eastAsiaTheme="minorEastAsia" w:hAnsi="Arial" w:cs="Arial"/>
          <w:sz w:val="22"/>
          <w:szCs w:val="22"/>
          <w:lang w:eastAsia="zh-CN"/>
        </w:rPr>
        <w:t xml:space="preserve">un aumento en los niveles de contratación en el próximo trimestre. </w:t>
      </w:r>
      <w:r w:rsidR="00AF223E">
        <w:rPr>
          <w:rFonts w:ascii="Arial" w:eastAsiaTheme="minorEastAsia" w:hAnsi="Arial" w:cs="Arial"/>
          <w:sz w:val="22"/>
          <w:szCs w:val="22"/>
          <w:lang w:eastAsia="zh-CN"/>
        </w:rPr>
        <w:t xml:space="preserve">En comparación con </w:t>
      </w:r>
      <w:r>
        <w:rPr>
          <w:rFonts w:ascii="Arial" w:eastAsiaTheme="minorEastAsia" w:hAnsi="Arial" w:cs="Arial"/>
          <w:sz w:val="22"/>
          <w:szCs w:val="22"/>
          <w:lang w:eastAsia="zh-CN"/>
        </w:rPr>
        <w:t xml:space="preserve">el </w:t>
      </w:r>
      <w:r w:rsidRPr="002F4816">
        <w:rPr>
          <w:rFonts w:ascii="Arial" w:eastAsiaTheme="minorEastAsia" w:hAnsi="Arial" w:cs="Arial"/>
          <w:sz w:val="22"/>
          <w:szCs w:val="22"/>
          <w:lang w:eastAsia="zh-CN"/>
        </w:rPr>
        <w:t>cuarto trimestre de 2023, l</w:t>
      </w:r>
      <w:r w:rsidR="00AF223E">
        <w:rPr>
          <w:rFonts w:ascii="Arial" w:eastAsiaTheme="minorEastAsia" w:hAnsi="Arial" w:cs="Arial"/>
          <w:sz w:val="22"/>
          <w:szCs w:val="22"/>
          <w:lang w:eastAsia="zh-CN"/>
        </w:rPr>
        <w:t>as expectativas</w:t>
      </w:r>
      <w:r w:rsidRPr="002F4816">
        <w:rPr>
          <w:rFonts w:ascii="Arial" w:eastAsiaTheme="minorEastAsia" w:hAnsi="Arial" w:cs="Arial"/>
          <w:sz w:val="22"/>
          <w:szCs w:val="22"/>
          <w:lang w:eastAsia="zh-CN"/>
        </w:rPr>
        <w:t xml:space="preserve"> se han fortalecido en </w:t>
      </w:r>
      <w:r w:rsidRPr="00204E64">
        <w:rPr>
          <w:rFonts w:ascii="Arial" w:eastAsiaTheme="minorEastAsia" w:hAnsi="Arial" w:cs="Arial"/>
          <w:sz w:val="22"/>
          <w:szCs w:val="22"/>
          <w:lang w:eastAsia="zh-CN"/>
        </w:rPr>
        <w:t>las microempresas (menos de 10 empleados</w:t>
      </w:r>
      <w:r>
        <w:rPr>
          <w:rFonts w:ascii="Arial" w:eastAsiaTheme="minorEastAsia" w:hAnsi="Arial" w:cs="Arial"/>
          <w:sz w:val="22"/>
          <w:szCs w:val="22"/>
          <w:lang w:eastAsia="zh-CN"/>
        </w:rPr>
        <w:t xml:space="preserve">), </w:t>
      </w:r>
      <w:r w:rsidRPr="00204E64">
        <w:rPr>
          <w:rFonts w:ascii="Arial" w:eastAsiaTheme="minorEastAsia" w:hAnsi="Arial" w:cs="Arial"/>
          <w:sz w:val="22"/>
          <w:szCs w:val="22"/>
          <w:lang w:eastAsia="zh-CN"/>
        </w:rPr>
        <w:t xml:space="preserve">las </w:t>
      </w:r>
      <w:r>
        <w:rPr>
          <w:rFonts w:ascii="Arial" w:eastAsiaTheme="minorEastAsia" w:hAnsi="Arial" w:cs="Arial"/>
          <w:sz w:val="22"/>
          <w:szCs w:val="22"/>
          <w:lang w:eastAsia="zh-CN"/>
        </w:rPr>
        <w:t>organizaciones de tamaño medio</w:t>
      </w:r>
      <w:r w:rsidRPr="00204E64">
        <w:rPr>
          <w:rFonts w:ascii="Arial" w:eastAsiaTheme="minorEastAsia" w:hAnsi="Arial" w:cs="Arial"/>
          <w:sz w:val="22"/>
          <w:szCs w:val="22"/>
          <w:lang w:eastAsia="zh-CN"/>
        </w:rPr>
        <w:t xml:space="preserve"> (50-250 trabajadores)</w:t>
      </w:r>
      <w:r>
        <w:rPr>
          <w:rFonts w:ascii="Arial" w:eastAsiaTheme="minorEastAsia" w:hAnsi="Arial" w:cs="Arial"/>
          <w:sz w:val="22"/>
          <w:szCs w:val="22"/>
          <w:lang w:eastAsia="zh-CN"/>
        </w:rPr>
        <w:t xml:space="preserve"> y las </w:t>
      </w:r>
      <w:r w:rsidRPr="00980C09">
        <w:rPr>
          <w:rFonts w:ascii="Arial" w:eastAsiaTheme="minorEastAsia" w:hAnsi="Arial" w:cs="Arial"/>
          <w:b/>
          <w:bCs/>
          <w:sz w:val="22"/>
          <w:szCs w:val="22"/>
          <w:lang w:eastAsia="zh-CN"/>
        </w:rPr>
        <w:t xml:space="preserve">empresas </w:t>
      </w:r>
      <w:r w:rsidR="00980C09" w:rsidRPr="00980C09">
        <w:rPr>
          <w:rFonts w:ascii="Arial" w:eastAsiaTheme="minorEastAsia" w:hAnsi="Arial" w:cs="Arial"/>
          <w:b/>
          <w:bCs/>
          <w:sz w:val="22"/>
          <w:szCs w:val="22"/>
          <w:lang w:eastAsia="zh-CN"/>
        </w:rPr>
        <w:t>con 1.000 a 4.999 empleados.</w:t>
      </w:r>
      <w:r w:rsidR="00027080">
        <w:rPr>
          <w:rFonts w:ascii="Arial" w:eastAsiaTheme="minorEastAsia" w:hAnsi="Arial" w:cs="Arial"/>
          <w:b/>
          <w:bCs/>
          <w:sz w:val="22"/>
          <w:szCs w:val="22"/>
          <w:lang w:eastAsia="zh-CN"/>
        </w:rPr>
        <w:t xml:space="preserve"> </w:t>
      </w:r>
      <w:r w:rsidR="00980C09">
        <w:rPr>
          <w:rFonts w:ascii="Arial" w:eastAsiaTheme="minorEastAsia" w:hAnsi="Arial" w:cs="Arial"/>
          <w:sz w:val="22"/>
          <w:szCs w:val="22"/>
          <w:lang w:eastAsia="zh-CN"/>
        </w:rPr>
        <w:t xml:space="preserve">En concreto, estas últimas son las </w:t>
      </w:r>
      <w:r w:rsidR="00980C09" w:rsidRPr="00980C09">
        <w:rPr>
          <w:rFonts w:ascii="Arial" w:eastAsiaTheme="minorEastAsia" w:hAnsi="Arial" w:cs="Arial"/>
          <w:b/>
          <w:bCs/>
          <w:sz w:val="22"/>
          <w:szCs w:val="22"/>
          <w:lang w:eastAsia="zh-CN"/>
        </w:rPr>
        <w:t>más optimistas con una proyección neta del 25%</w:t>
      </w:r>
      <w:r w:rsidR="00980C09">
        <w:rPr>
          <w:rFonts w:ascii="Arial" w:eastAsiaTheme="minorEastAsia" w:hAnsi="Arial" w:cs="Arial"/>
          <w:sz w:val="22"/>
          <w:szCs w:val="22"/>
          <w:lang w:eastAsia="zh-CN"/>
        </w:rPr>
        <w:t xml:space="preserve">, </w:t>
      </w:r>
      <w:r w:rsidR="00980C09" w:rsidRPr="002F4816">
        <w:rPr>
          <w:rFonts w:ascii="Arial" w:eastAsiaTheme="minorEastAsia" w:hAnsi="Arial" w:cs="Arial"/>
          <w:sz w:val="22"/>
          <w:szCs w:val="22"/>
          <w:lang w:eastAsia="zh-CN"/>
        </w:rPr>
        <w:t xml:space="preserve">un aumento de 4 puntos desde el último trimestre y </w:t>
      </w:r>
      <w:r w:rsidR="0096266D">
        <w:rPr>
          <w:rFonts w:ascii="Arial" w:eastAsiaTheme="minorEastAsia" w:hAnsi="Arial" w:cs="Arial"/>
          <w:sz w:val="22"/>
          <w:szCs w:val="22"/>
          <w:lang w:eastAsia="zh-CN"/>
        </w:rPr>
        <w:t xml:space="preserve">de </w:t>
      </w:r>
      <w:r w:rsidR="00980C09" w:rsidRPr="002F4816">
        <w:rPr>
          <w:rFonts w:ascii="Arial" w:eastAsiaTheme="minorEastAsia" w:hAnsi="Arial" w:cs="Arial"/>
          <w:sz w:val="22"/>
          <w:szCs w:val="22"/>
          <w:lang w:eastAsia="zh-CN"/>
        </w:rPr>
        <w:t xml:space="preserve">17 desde </w:t>
      </w:r>
      <w:r w:rsidR="0096266D">
        <w:rPr>
          <w:rFonts w:ascii="Arial" w:eastAsiaTheme="minorEastAsia" w:hAnsi="Arial" w:cs="Arial"/>
          <w:sz w:val="22"/>
          <w:szCs w:val="22"/>
          <w:lang w:eastAsia="zh-CN"/>
        </w:rPr>
        <w:t>el inicio d</w:t>
      </w:r>
      <w:r w:rsidR="00980C09" w:rsidRPr="002F4816">
        <w:rPr>
          <w:rFonts w:ascii="Arial" w:eastAsiaTheme="minorEastAsia" w:hAnsi="Arial" w:cs="Arial"/>
          <w:sz w:val="22"/>
          <w:szCs w:val="22"/>
          <w:lang w:eastAsia="zh-CN"/>
        </w:rPr>
        <w:t xml:space="preserve">el </w:t>
      </w:r>
      <w:r w:rsidR="0096266D">
        <w:rPr>
          <w:rFonts w:ascii="Arial" w:eastAsiaTheme="minorEastAsia" w:hAnsi="Arial" w:cs="Arial"/>
          <w:sz w:val="22"/>
          <w:szCs w:val="22"/>
          <w:lang w:eastAsia="zh-CN"/>
        </w:rPr>
        <w:t>2023</w:t>
      </w:r>
      <w:r w:rsidR="00027080">
        <w:rPr>
          <w:rFonts w:ascii="Arial" w:eastAsiaTheme="minorEastAsia" w:hAnsi="Arial" w:cs="Arial"/>
          <w:sz w:val="22"/>
          <w:szCs w:val="22"/>
          <w:lang w:eastAsia="zh-CN"/>
        </w:rPr>
        <w:t>.</w:t>
      </w:r>
    </w:p>
    <w:p w14:paraId="430D672B" w14:textId="4EE2E190" w:rsidR="00980C09" w:rsidRPr="00980C09" w:rsidRDefault="00980C09" w:rsidP="00090345">
      <w:pPr>
        <w:spacing w:before="120" w:line="288" w:lineRule="auto"/>
        <w:jc w:val="both"/>
        <w:rPr>
          <w:rFonts w:ascii="Arial" w:eastAsiaTheme="minorEastAsia" w:hAnsi="Arial" w:cs="Arial"/>
          <w:b/>
          <w:bCs/>
          <w:sz w:val="22"/>
          <w:szCs w:val="22"/>
          <w:lang w:eastAsia="zh-CN"/>
        </w:rPr>
      </w:pPr>
      <w:r>
        <w:rPr>
          <w:rFonts w:ascii="Arial" w:eastAsiaTheme="minorEastAsia" w:hAnsi="Arial" w:cs="Arial"/>
          <w:sz w:val="22"/>
          <w:szCs w:val="22"/>
          <w:lang w:eastAsia="zh-CN"/>
        </w:rPr>
        <w:t xml:space="preserve">Les siguen de cerca las </w:t>
      </w:r>
      <w:r w:rsidRPr="00980C09">
        <w:rPr>
          <w:rFonts w:ascii="Arial" w:eastAsiaTheme="minorEastAsia" w:hAnsi="Arial" w:cs="Arial"/>
          <w:b/>
          <w:bCs/>
          <w:sz w:val="22"/>
          <w:szCs w:val="22"/>
          <w:lang w:eastAsia="zh-CN"/>
        </w:rPr>
        <w:t>empresas de tamaño medio, con unas estimaciones del 22%;</w:t>
      </w:r>
      <w:r>
        <w:rPr>
          <w:rFonts w:ascii="Arial" w:eastAsiaTheme="minorEastAsia" w:hAnsi="Arial" w:cs="Arial"/>
          <w:sz w:val="22"/>
          <w:szCs w:val="22"/>
          <w:lang w:eastAsia="zh-CN"/>
        </w:rPr>
        <w:t xml:space="preserve"> y, </w:t>
      </w:r>
      <w:r w:rsidRPr="00980C09">
        <w:rPr>
          <w:rFonts w:ascii="Arial" w:eastAsiaTheme="minorEastAsia" w:hAnsi="Arial" w:cs="Arial"/>
          <w:b/>
          <w:bCs/>
          <w:sz w:val="22"/>
          <w:szCs w:val="22"/>
          <w:lang w:eastAsia="zh-CN"/>
        </w:rPr>
        <w:t>las organizaciones de entre 250 y 999 empleados</w:t>
      </w:r>
      <w:r w:rsidR="00AF223E">
        <w:rPr>
          <w:rFonts w:ascii="Arial" w:eastAsiaTheme="minorEastAsia" w:hAnsi="Arial" w:cs="Arial"/>
          <w:b/>
          <w:bCs/>
          <w:sz w:val="22"/>
          <w:szCs w:val="22"/>
          <w:lang w:eastAsia="zh-CN"/>
        </w:rPr>
        <w:t xml:space="preserve">, </w:t>
      </w:r>
      <w:r w:rsidR="00AF223E">
        <w:rPr>
          <w:rFonts w:ascii="Arial" w:eastAsiaTheme="minorEastAsia" w:hAnsi="Arial" w:cs="Arial"/>
          <w:sz w:val="22"/>
          <w:szCs w:val="22"/>
          <w:lang w:eastAsia="zh-CN"/>
        </w:rPr>
        <w:t xml:space="preserve">tan solo </w:t>
      </w:r>
      <w:r w:rsidR="00AF223E" w:rsidRPr="00980C09">
        <w:rPr>
          <w:rFonts w:ascii="Arial" w:eastAsiaTheme="minorEastAsia" w:hAnsi="Arial" w:cs="Arial"/>
          <w:b/>
          <w:bCs/>
          <w:sz w:val="22"/>
          <w:szCs w:val="22"/>
          <w:lang w:eastAsia="zh-CN"/>
        </w:rPr>
        <w:t>1 punto por debajo (21%)</w:t>
      </w:r>
      <w:r w:rsidRPr="00980C09">
        <w:rPr>
          <w:rFonts w:ascii="Arial" w:eastAsiaTheme="minorEastAsia" w:hAnsi="Arial" w:cs="Arial"/>
          <w:b/>
          <w:bCs/>
          <w:sz w:val="22"/>
          <w:szCs w:val="22"/>
          <w:lang w:eastAsia="zh-CN"/>
        </w:rPr>
        <w:t>.</w:t>
      </w:r>
    </w:p>
    <w:p w14:paraId="186A9720" w14:textId="6F6EA6E5" w:rsidR="00980C09" w:rsidRDefault="00980C09" w:rsidP="00090345">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Entre las más prudentes, se encuentran </w:t>
      </w:r>
      <w:r w:rsidRPr="00980C09">
        <w:rPr>
          <w:rFonts w:ascii="Arial" w:eastAsiaTheme="minorEastAsia" w:hAnsi="Arial" w:cs="Arial"/>
          <w:b/>
          <w:bCs/>
          <w:sz w:val="22"/>
          <w:szCs w:val="22"/>
          <w:lang w:eastAsia="zh-CN"/>
        </w:rPr>
        <w:t>las organizaciones de más de 5.000 empleados (11%) y las empresas pequeñas de menos de 50 empleados,</w:t>
      </w:r>
      <w:r>
        <w:rPr>
          <w:rFonts w:ascii="Arial" w:eastAsiaTheme="minorEastAsia" w:hAnsi="Arial" w:cs="Arial"/>
          <w:sz w:val="22"/>
          <w:szCs w:val="22"/>
          <w:lang w:eastAsia="zh-CN"/>
        </w:rPr>
        <w:t xml:space="preserve"> con una previsión de creación de empleo del 8%.</w:t>
      </w:r>
    </w:p>
    <w:p w14:paraId="7C6A355F" w14:textId="77777777" w:rsidR="00980C09" w:rsidRPr="00980C09" w:rsidRDefault="00980C09" w:rsidP="00090345">
      <w:pPr>
        <w:spacing w:before="120" w:line="288" w:lineRule="auto"/>
        <w:jc w:val="both"/>
        <w:rPr>
          <w:rFonts w:ascii="Arial" w:eastAsiaTheme="minorEastAsia" w:hAnsi="Arial" w:cs="Arial"/>
          <w:sz w:val="22"/>
          <w:szCs w:val="22"/>
          <w:lang w:eastAsia="zh-CN"/>
        </w:rPr>
      </w:pPr>
    </w:p>
    <w:bookmarkEnd w:id="1"/>
    <w:p w14:paraId="5B5A9D77" w14:textId="430C8B98" w:rsidR="00980C09" w:rsidRPr="00980C09" w:rsidRDefault="00980C09" w:rsidP="00090345">
      <w:pPr>
        <w:spacing w:before="120" w:line="288" w:lineRule="auto"/>
        <w:jc w:val="both"/>
        <w:rPr>
          <w:rFonts w:ascii="Arial" w:eastAsia="Arial" w:hAnsi="Arial" w:cs="Arial"/>
          <w:b/>
          <w:sz w:val="23"/>
          <w:szCs w:val="23"/>
        </w:rPr>
      </w:pPr>
      <w:r>
        <w:rPr>
          <w:rFonts w:ascii="Arial" w:eastAsia="Arial" w:hAnsi="Arial" w:cs="Arial"/>
          <w:b/>
          <w:sz w:val="23"/>
          <w:szCs w:val="23"/>
        </w:rPr>
        <w:t xml:space="preserve">España, 7 puntos </w:t>
      </w:r>
      <w:r w:rsidR="00750181">
        <w:rPr>
          <w:rFonts w:ascii="Arial" w:eastAsia="Arial" w:hAnsi="Arial" w:cs="Arial"/>
          <w:b/>
          <w:sz w:val="23"/>
          <w:szCs w:val="23"/>
        </w:rPr>
        <w:t xml:space="preserve">por debajo </w:t>
      </w:r>
      <w:r>
        <w:rPr>
          <w:rFonts w:ascii="Arial" w:eastAsia="Arial" w:hAnsi="Arial" w:cs="Arial"/>
          <w:b/>
          <w:sz w:val="23"/>
          <w:szCs w:val="23"/>
        </w:rPr>
        <w:t xml:space="preserve">de la </w:t>
      </w:r>
      <w:r w:rsidRPr="00980C09">
        <w:rPr>
          <w:rFonts w:ascii="Arial" w:eastAsia="Arial" w:hAnsi="Arial" w:cs="Arial"/>
          <w:b/>
          <w:sz w:val="23"/>
          <w:szCs w:val="23"/>
        </w:rPr>
        <w:t>media global</w:t>
      </w:r>
    </w:p>
    <w:p w14:paraId="164176A4" w14:textId="3C727E73" w:rsidR="00980C09" w:rsidRDefault="001319E5" w:rsidP="00090345">
      <w:pPr>
        <w:spacing w:before="120" w:line="288" w:lineRule="auto"/>
        <w:jc w:val="both"/>
        <w:rPr>
          <w:rFonts w:ascii="Arial" w:eastAsiaTheme="minorEastAsia" w:hAnsi="Arial" w:cs="Arial"/>
          <w:b/>
          <w:bCs/>
          <w:sz w:val="22"/>
          <w:szCs w:val="22"/>
          <w:lang w:eastAsia="zh-CN"/>
        </w:rPr>
      </w:pPr>
      <w:r w:rsidRPr="00204E64">
        <w:rPr>
          <w:rFonts w:ascii="Arial" w:eastAsiaTheme="minorEastAsia" w:hAnsi="Arial" w:cs="Arial"/>
          <w:sz w:val="22"/>
          <w:szCs w:val="22"/>
          <w:lang w:eastAsia="zh-CN"/>
        </w:rPr>
        <w:t xml:space="preserve">A nivel global, </w:t>
      </w:r>
      <w:r w:rsidR="00980C09">
        <w:rPr>
          <w:rFonts w:ascii="Arial" w:eastAsiaTheme="minorEastAsia" w:hAnsi="Arial" w:cs="Arial"/>
          <w:sz w:val="22"/>
          <w:szCs w:val="22"/>
          <w:lang w:eastAsia="zh-CN"/>
        </w:rPr>
        <w:t>las previsiones han descendido 4 puntos con respecto al cuarto trimestre de 2023, hasta alcanzar el 26%. España (19%) se sitúa, por tanto, 7 puntos por debajo de esta media</w:t>
      </w:r>
      <w:r w:rsidR="00980C09" w:rsidRPr="00763C96">
        <w:rPr>
          <w:rFonts w:ascii="Arial" w:eastAsiaTheme="minorEastAsia" w:hAnsi="Arial" w:cs="Arial"/>
          <w:b/>
          <w:bCs/>
          <w:sz w:val="22"/>
          <w:szCs w:val="22"/>
          <w:lang w:eastAsia="zh-CN"/>
        </w:rPr>
        <w:t xml:space="preserve">. </w:t>
      </w:r>
      <w:r w:rsidR="00763C96">
        <w:rPr>
          <w:rFonts w:ascii="Arial" w:eastAsiaTheme="minorEastAsia" w:hAnsi="Arial" w:cs="Arial"/>
          <w:b/>
          <w:bCs/>
          <w:sz w:val="22"/>
          <w:szCs w:val="22"/>
          <w:lang w:eastAsia="zh-CN"/>
        </w:rPr>
        <w:t>Países Bajos e India</w:t>
      </w:r>
      <w:r w:rsidR="00485E70">
        <w:rPr>
          <w:rFonts w:ascii="Arial" w:eastAsiaTheme="minorEastAsia" w:hAnsi="Arial" w:cs="Arial"/>
          <w:b/>
          <w:bCs/>
          <w:sz w:val="22"/>
          <w:szCs w:val="22"/>
          <w:lang w:eastAsia="zh-CN"/>
        </w:rPr>
        <w:t>,</w:t>
      </w:r>
      <w:r w:rsidR="00763C96">
        <w:rPr>
          <w:rFonts w:ascii="Arial" w:eastAsiaTheme="minorEastAsia" w:hAnsi="Arial" w:cs="Arial"/>
          <w:b/>
          <w:bCs/>
          <w:sz w:val="22"/>
          <w:szCs w:val="22"/>
          <w:lang w:eastAsia="zh-CN"/>
        </w:rPr>
        <w:t xml:space="preserve"> </w:t>
      </w:r>
      <w:r w:rsidR="00763C96" w:rsidRPr="00763C96">
        <w:rPr>
          <w:rFonts w:ascii="Arial" w:eastAsiaTheme="minorEastAsia" w:hAnsi="Arial" w:cs="Arial"/>
          <w:b/>
          <w:bCs/>
          <w:sz w:val="22"/>
          <w:szCs w:val="22"/>
          <w:lang w:eastAsia="zh-CN"/>
        </w:rPr>
        <w:t>con una proyección neta del 3</w:t>
      </w:r>
      <w:r w:rsidR="00763C96">
        <w:rPr>
          <w:rFonts w:ascii="Arial" w:eastAsiaTheme="minorEastAsia" w:hAnsi="Arial" w:cs="Arial"/>
          <w:b/>
          <w:bCs/>
          <w:sz w:val="22"/>
          <w:szCs w:val="22"/>
          <w:lang w:eastAsia="zh-CN"/>
        </w:rPr>
        <w:t>7</w:t>
      </w:r>
      <w:r w:rsidR="00763C96" w:rsidRPr="00763C96">
        <w:rPr>
          <w:rFonts w:ascii="Arial" w:eastAsiaTheme="minorEastAsia" w:hAnsi="Arial" w:cs="Arial"/>
          <w:b/>
          <w:bCs/>
          <w:sz w:val="22"/>
          <w:szCs w:val="22"/>
          <w:lang w:eastAsia="zh-CN"/>
        </w:rPr>
        <w:t>% son los mercados más optimistas a nivel mundial</w:t>
      </w:r>
      <w:r w:rsidR="00763C96">
        <w:rPr>
          <w:rFonts w:ascii="Arial" w:eastAsiaTheme="minorEastAsia" w:hAnsi="Arial" w:cs="Arial"/>
          <w:b/>
          <w:bCs/>
          <w:sz w:val="22"/>
          <w:szCs w:val="22"/>
          <w:lang w:eastAsia="zh-CN"/>
        </w:rPr>
        <w:t xml:space="preserve">; seguidos de </w:t>
      </w:r>
      <w:r w:rsidR="00763C96" w:rsidRPr="00763C96">
        <w:rPr>
          <w:rFonts w:ascii="Arial" w:eastAsiaTheme="minorEastAsia" w:hAnsi="Arial" w:cs="Arial"/>
          <w:b/>
          <w:bCs/>
          <w:sz w:val="22"/>
          <w:szCs w:val="22"/>
          <w:lang w:eastAsia="zh-CN"/>
        </w:rPr>
        <w:t>Estados Unidos y Costa Rica</w:t>
      </w:r>
      <w:r w:rsidR="00763C96">
        <w:rPr>
          <w:rFonts w:ascii="Arial" w:eastAsiaTheme="minorEastAsia" w:hAnsi="Arial" w:cs="Arial"/>
          <w:b/>
          <w:bCs/>
          <w:sz w:val="22"/>
          <w:szCs w:val="22"/>
          <w:lang w:eastAsia="zh-CN"/>
        </w:rPr>
        <w:t xml:space="preserve"> (</w:t>
      </w:r>
      <w:r w:rsidR="00763C96" w:rsidRPr="00763C96">
        <w:rPr>
          <w:rFonts w:ascii="Arial" w:eastAsiaTheme="minorEastAsia" w:hAnsi="Arial" w:cs="Arial"/>
          <w:b/>
          <w:bCs/>
          <w:sz w:val="22"/>
          <w:szCs w:val="22"/>
          <w:lang w:eastAsia="zh-CN"/>
        </w:rPr>
        <w:t>35%</w:t>
      </w:r>
      <w:r w:rsidR="00763C96">
        <w:rPr>
          <w:rFonts w:ascii="Arial" w:eastAsiaTheme="minorEastAsia" w:hAnsi="Arial" w:cs="Arial"/>
          <w:b/>
          <w:bCs/>
          <w:sz w:val="22"/>
          <w:szCs w:val="22"/>
          <w:lang w:eastAsia="zh-CN"/>
        </w:rPr>
        <w:t>). A la cola del ranking se encuentran Hungría (10%), República Checa (8%) y Argentina (2%).</w:t>
      </w:r>
    </w:p>
    <w:p w14:paraId="6772DBE7" w14:textId="77777777" w:rsidR="00090345" w:rsidRPr="00763C96" w:rsidRDefault="00090345" w:rsidP="00090345">
      <w:pPr>
        <w:spacing w:before="120" w:line="288" w:lineRule="auto"/>
        <w:jc w:val="both"/>
        <w:rPr>
          <w:rFonts w:ascii="Arial" w:eastAsiaTheme="minorEastAsia" w:hAnsi="Arial" w:cs="Arial"/>
          <w:b/>
          <w:bCs/>
          <w:sz w:val="22"/>
          <w:szCs w:val="22"/>
          <w:lang w:eastAsia="zh-CN"/>
        </w:rPr>
      </w:pPr>
    </w:p>
    <w:p w14:paraId="151749A0" w14:textId="51C4C636" w:rsidR="00C76422" w:rsidRDefault="00204E64" w:rsidP="00C76422">
      <w:pPr>
        <w:spacing w:line="276" w:lineRule="auto"/>
        <w:ind w:right="-1"/>
        <w:jc w:val="both"/>
        <w:rPr>
          <w:rFonts w:ascii="Arial" w:hAnsi="Arial" w:cs="Arial"/>
          <w:sz w:val="16"/>
          <w:szCs w:val="16"/>
        </w:rPr>
      </w:pPr>
      <w:r w:rsidRPr="00C76422">
        <w:rPr>
          <w:rFonts w:ascii="Arial" w:hAnsi="Arial" w:cs="Arial"/>
          <w:b/>
          <w:bCs/>
          <w:sz w:val="16"/>
          <w:szCs w:val="16"/>
        </w:rPr>
        <w:t>Sobre el Estudio de Proyección de Empleo de ManpowerGroup</w:t>
      </w:r>
      <w:r w:rsidR="008C7DC2" w:rsidRPr="00C76422">
        <w:rPr>
          <w:rFonts w:ascii="Arial" w:hAnsi="Arial" w:cs="Arial"/>
          <w:b/>
          <w:bCs/>
          <w:sz w:val="16"/>
          <w:szCs w:val="16"/>
        </w:rPr>
        <w:t>:</w:t>
      </w:r>
      <w:r w:rsidR="00C76422">
        <w:rPr>
          <w:rFonts w:ascii="Arial" w:hAnsi="Arial" w:cs="Arial"/>
          <w:b/>
          <w:bCs/>
          <w:sz w:val="16"/>
          <w:szCs w:val="16"/>
        </w:rPr>
        <w:t xml:space="preserve"> </w:t>
      </w:r>
      <w:bookmarkStart w:id="6" w:name="_Hlk90222956"/>
      <w:bookmarkStart w:id="7" w:name="_Hlk90207554"/>
      <w:bookmarkEnd w:id="2"/>
      <w:bookmarkEnd w:id="3"/>
      <w:bookmarkEnd w:id="4"/>
      <w:r w:rsidR="00910200" w:rsidRPr="00C76422">
        <w:rPr>
          <w:rFonts w:ascii="Arial" w:hAnsi="Arial" w:cs="Arial"/>
          <w:sz w:val="16"/>
          <w:szCs w:val="16"/>
        </w:rPr>
        <w:t xml:space="preserve">Este estudio se basa en entrevistas realizadas a </w:t>
      </w:r>
      <w:r w:rsidR="00763C96" w:rsidRPr="00763C96">
        <w:rPr>
          <w:rFonts w:ascii="Arial" w:hAnsi="Arial" w:cs="Arial"/>
          <w:b/>
          <w:bCs/>
          <w:sz w:val="16"/>
          <w:szCs w:val="16"/>
        </w:rPr>
        <w:t>40.077</w:t>
      </w:r>
      <w:r w:rsidR="00910200" w:rsidRPr="00C76422">
        <w:rPr>
          <w:rFonts w:ascii="Arial" w:hAnsi="Arial" w:cs="Arial"/>
          <w:b/>
          <w:bCs/>
          <w:sz w:val="16"/>
          <w:szCs w:val="16"/>
        </w:rPr>
        <w:t xml:space="preserve"> empresas de todo el mundo -1.0</w:t>
      </w:r>
      <w:r w:rsidR="00763C96">
        <w:rPr>
          <w:rFonts w:ascii="Arial" w:hAnsi="Arial" w:cs="Arial"/>
          <w:b/>
          <w:bCs/>
          <w:sz w:val="16"/>
          <w:szCs w:val="16"/>
        </w:rPr>
        <w:t>5</w:t>
      </w:r>
      <w:r w:rsidR="00910200" w:rsidRPr="00C76422">
        <w:rPr>
          <w:rFonts w:ascii="Arial" w:hAnsi="Arial" w:cs="Arial"/>
          <w:b/>
          <w:bCs/>
          <w:sz w:val="16"/>
          <w:szCs w:val="16"/>
        </w:rPr>
        <w:t>0 de ellas en España-</w:t>
      </w:r>
      <w:r w:rsidR="00910200" w:rsidRPr="00C76422">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w:t>
      </w:r>
      <w:r w:rsidR="00493CFD" w:rsidRPr="00C76422">
        <w:rPr>
          <w:rFonts w:ascii="Arial" w:hAnsi="Arial" w:cs="Arial"/>
          <w:sz w:val="16"/>
          <w:szCs w:val="16"/>
        </w:rPr>
        <w:t xml:space="preserve"> -ya que están estandarizados en todos los mercados- </w:t>
      </w:r>
      <w:r w:rsidR="00910200" w:rsidRPr="00C76422">
        <w:rPr>
          <w:rFonts w:ascii="Arial" w:hAnsi="Arial" w:cs="Arial"/>
          <w:sz w:val="16"/>
          <w:szCs w:val="16"/>
        </w:rPr>
        <w:t>y así ofrecer una información más detallada.</w:t>
      </w:r>
    </w:p>
    <w:p w14:paraId="393CBE0B" w14:textId="34331E52" w:rsidR="00C76422" w:rsidRDefault="00493CFD" w:rsidP="00C76422">
      <w:pPr>
        <w:spacing w:line="276" w:lineRule="auto"/>
        <w:ind w:right="-1"/>
        <w:jc w:val="both"/>
        <w:rPr>
          <w:rFonts w:ascii="Arial" w:hAnsi="Arial" w:cs="Arial"/>
          <w:sz w:val="16"/>
          <w:szCs w:val="16"/>
        </w:rPr>
      </w:pPr>
      <w:r w:rsidRPr="00C76422">
        <w:rPr>
          <w:rFonts w:ascii="Arial" w:hAnsi="Arial" w:cs="Arial"/>
          <w:sz w:val="16"/>
          <w:szCs w:val="16"/>
        </w:rPr>
        <w:t>E</w:t>
      </w:r>
      <w:r w:rsidR="00910200" w:rsidRPr="00C76422">
        <w:rPr>
          <w:rFonts w:ascii="Arial" w:hAnsi="Arial" w:cs="Arial"/>
          <w:sz w:val="16"/>
          <w:szCs w:val="16"/>
        </w:rPr>
        <w:t>l estudio obt</w:t>
      </w:r>
      <w:r w:rsidRPr="00C76422">
        <w:rPr>
          <w:rFonts w:ascii="Arial" w:hAnsi="Arial" w:cs="Arial"/>
          <w:sz w:val="16"/>
          <w:szCs w:val="16"/>
        </w:rPr>
        <w:t>iene</w:t>
      </w:r>
      <w:r w:rsidR="00910200" w:rsidRPr="00C76422">
        <w:rPr>
          <w:rFonts w:ascii="Arial" w:hAnsi="Arial" w:cs="Arial"/>
          <w:sz w:val="16"/>
          <w:szCs w:val="16"/>
        </w:rPr>
        <w:t xml:space="preserve"> su información a partir de una única pregunta: </w:t>
      </w:r>
      <w:r w:rsidR="00910200" w:rsidRPr="00C76422">
        <w:rPr>
          <w:rFonts w:ascii="Arial" w:hAnsi="Arial" w:cs="Arial"/>
          <w:b/>
          <w:bCs/>
          <w:sz w:val="16"/>
          <w:szCs w:val="16"/>
        </w:rPr>
        <w:t xml:space="preserve">“¿Cómo prevé usted que cambiará el empleo total en su empresa en el próximo trimestre, hasta finales de </w:t>
      </w:r>
      <w:r w:rsidR="00763C96">
        <w:rPr>
          <w:rFonts w:ascii="Arial" w:hAnsi="Arial" w:cs="Arial"/>
          <w:b/>
          <w:bCs/>
          <w:sz w:val="16"/>
          <w:szCs w:val="16"/>
        </w:rPr>
        <w:t>marzo</w:t>
      </w:r>
      <w:r w:rsidR="00910200" w:rsidRPr="00C76422">
        <w:rPr>
          <w:rFonts w:ascii="Arial" w:hAnsi="Arial" w:cs="Arial"/>
          <w:b/>
          <w:bCs/>
          <w:sz w:val="16"/>
          <w:szCs w:val="16"/>
        </w:rPr>
        <w:t xml:space="preserve"> de 202</w:t>
      </w:r>
      <w:r w:rsidR="00763C96">
        <w:rPr>
          <w:rFonts w:ascii="Arial" w:hAnsi="Arial" w:cs="Arial"/>
          <w:b/>
          <w:bCs/>
          <w:sz w:val="16"/>
          <w:szCs w:val="16"/>
        </w:rPr>
        <w:t>4</w:t>
      </w:r>
      <w:r w:rsidR="00910200" w:rsidRPr="00C76422">
        <w:rPr>
          <w:rFonts w:ascii="Arial" w:hAnsi="Arial" w:cs="Arial"/>
          <w:b/>
          <w:bCs/>
          <w:sz w:val="16"/>
          <w:szCs w:val="16"/>
        </w:rPr>
        <w:t>, en comparación con el trimestre actual?</w:t>
      </w:r>
      <w:r w:rsidR="00910200" w:rsidRPr="00C76422">
        <w:rPr>
          <w:rFonts w:ascii="Arial" w:hAnsi="Arial" w:cs="Arial"/>
          <w:sz w:val="16"/>
          <w:szCs w:val="16"/>
        </w:rPr>
        <w:t>”.</w:t>
      </w:r>
      <w:r w:rsidRPr="00C76422">
        <w:rPr>
          <w:rFonts w:ascii="Arial" w:hAnsi="Arial" w:cs="Arial"/>
          <w:sz w:val="16"/>
          <w:szCs w:val="16"/>
        </w:rPr>
        <w:t xml:space="preserve"> </w:t>
      </w:r>
      <w:r w:rsidR="00A73C99" w:rsidRPr="00C76422">
        <w:rPr>
          <w:rFonts w:ascii="Arial" w:hAnsi="Arial" w:cs="Arial"/>
          <w:sz w:val="16"/>
          <w:szCs w:val="16"/>
        </w:rPr>
        <w:t xml:space="preserve">Como resultado de comparar las compañías que tienen previsto ampliar sus equipos y las que anticipan una reducción </w:t>
      </w:r>
      <w:r w:rsidR="00A73C99" w:rsidRPr="00C76422">
        <w:rPr>
          <w:rFonts w:ascii="Arial" w:hAnsi="Arial" w:cs="Arial"/>
          <w:b/>
          <w:bCs/>
          <w:sz w:val="16"/>
          <w:szCs w:val="16"/>
        </w:rPr>
        <w:t>se obtiene un índice cuyo resultado puede ir desde -100% a 100%</w:t>
      </w:r>
      <w:r w:rsidR="00A73C99" w:rsidRPr="00C76422">
        <w:rPr>
          <w:rFonts w:ascii="Arial" w:hAnsi="Arial" w:cs="Arial"/>
          <w:sz w:val="16"/>
          <w:szCs w:val="16"/>
        </w:rPr>
        <w:t>.</w:t>
      </w:r>
    </w:p>
    <w:p w14:paraId="6E6E2DD4" w14:textId="6A537F17" w:rsidR="00910200" w:rsidRDefault="00A73C99" w:rsidP="00C76422">
      <w:pPr>
        <w:spacing w:line="276" w:lineRule="auto"/>
        <w:ind w:right="-1"/>
        <w:jc w:val="both"/>
        <w:rPr>
          <w:rFonts w:ascii="Arial" w:hAnsi="Arial" w:cs="Arial"/>
          <w:sz w:val="16"/>
          <w:szCs w:val="16"/>
        </w:rPr>
      </w:pPr>
      <w:r w:rsidRPr="00C76422">
        <w:rPr>
          <w:rFonts w:ascii="Arial" w:hAnsi="Arial" w:cs="Arial"/>
          <w:sz w:val="16"/>
          <w:szCs w:val="16"/>
        </w:rPr>
        <w:lastRenderedPageBreak/>
        <w:t xml:space="preserve">El estudio se lleva a cabo desde hace más de 60 años con la misma pregunta y perfil de encuestados. </w:t>
      </w:r>
      <w:r w:rsidR="00493CFD" w:rsidRPr="00C76422">
        <w:rPr>
          <w:rFonts w:ascii="Arial" w:hAnsi="Arial" w:cs="Arial"/>
          <w:sz w:val="16"/>
          <w:szCs w:val="16"/>
        </w:rPr>
        <w:t xml:space="preserve">Desde el primer trimestre </w:t>
      </w:r>
      <w:r w:rsidR="00910200" w:rsidRPr="00C76422">
        <w:rPr>
          <w:rFonts w:ascii="Arial" w:hAnsi="Arial" w:cs="Arial"/>
          <w:sz w:val="16"/>
          <w:szCs w:val="16"/>
        </w:rPr>
        <w:t>de 2022, las respuestas se recopilan a través de un sistema online de doble confirmación en el que se incentiva a los participantes a completar la encuesta.</w:t>
      </w:r>
    </w:p>
    <w:p w14:paraId="523231CB" w14:textId="77777777" w:rsidR="00485E70" w:rsidRPr="00C76422" w:rsidRDefault="00485E70" w:rsidP="00C76422">
      <w:pPr>
        <w:spacing w:line="276" w:lineRule="auto"/>
        <w:ind w:right="-1"/>
        <w:jc w:val="both"/>
        <w:rPr>
          <w:rFonts w:ascii="Arial" w:hAnsi="Arial" w:cs="Arial"/>
          <w:sz w:val="16"/>
          <w:szCs w:val="16"/>
        </w:rPr>
      </w:pPr>
    </w:p>
    <w:p w14:paraId="69BA816E" w14:textId="31226315" w:rsidR="00D96635" w:rsidRPr="00485E70" w:rsidRDefault="00D96635" w:rsidP="00D96635">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sidR="00485E70">
        <w:rPr>
          <w:rFonts w:ascii="Arial" w:hAnsi="Arial" w:cs="Arial"/>
          <w:b/>
          <w:bCs/>
          <w:sz w:val="16"/>
          <w:szCs w:val="16"/>
        </w:rPr>
        <w:t xml:space="preserve"> </w:t>
      </w:r>
      <w:hyperlink r:id="rId9" w:history="1">
        <w:r w:rsidR="00485E70" w:rsidRPr="00BD09DB">
          <w:rPr>
            <w:rStyle w:val="Hipervnculo"/>
            <w:rFonts w:ascii="Arial" w:hAnsi="Arial" w:cs="Arial"/>
            <w:sz w:val="16"/>
            <w:szCs w:val="16"/>
          </w:rPr>
          <w:t>https://www.manpowergroup.es/estudios/estudio-de-proyeccion-de-empleo-de-manpowergroup-para-el-primer-trimestre-de-2024</w:t>
        </w:r>
      </w:hyperlink>
      <w:r w:rsidR="00485E70" w:rsidRPr="00485E70">
        <w:rPr>
          <w:rFonts w:ascii="Arial" w:hAnsi="Arial" w:cs="Arial"/>
          <w:sz w:val="16"/>
          <w:szCs w:val="16"/>
        </w:rPr>
        <w:t xml:space="preserve"> </w:t>
      </w:r>
    </w:p>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1740C7">
      <w:pPr>
        <w:jc w:val="both"/>
        <w:rPr>
          <w:rFonts w:ascii="Arial" w:hAnsi="Arial" w:cs="Arial"/>
          <w:b/>
          <w:bCs/>
          <w:sz w:val="16"/>
          <w:szCs w:val="16"/>
        </w:rPr>
      </w:pPr>
    </w:p>
    <w:p w14:paraId="515740E1" w14:textId="77777777" w:rsidR="00750181" w:rsidRDefault="00750181" w:rsidP="001740C7">
      <w:pPr>
        <w:jc w:val="both"/>
        <w:rPr>
          <w:rFonts w:ascii="Arial" w:hAnsi="Arial" w:cs="Arial"/>
          <w:b/>
          <w:bCs/>
          <w:sz w:val="16"/>
          <w:szCs w:val="16"/>
        </w:rPr>
      </w:pPr>
    </w:p>
    <w:p w14:paraId="57C9640A" w14:textId="6476B420" w:rsidR="001740C7" w:rsidRPr="00C76422" w:rsidRDefault="001740C7" w:rsidP="001740C7">
      <w:pPr>
        <w:jc w:val="both"/>
        <w:rPr>
          <w:rFonts w:ascii="Arial" w:hAnsi="Arial" w:cs="Arial"/>
          <w:sz w:val="16"/>
          <w:szCs w:val="16"/>
        </w:rPr>
      </w:pPr>
      <w:r w:rsidRPr="00C76422">
        <w:rPr>
          <w:rFonts w:ascii="Arial" w:hAnsi="Arial" w:cs="Arial"/>
          <w:b/>
          <w:bCs/>
          <w:sz w:val="16"/>
          <w:szCs w:val="16"/>
        </w:rPr>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5955DC9B" w:rsidR="001740C7" w:rsidRPr="00C76422" w:rsidRDefault="001740C7" w:rsidP="001740C7">
      <w:pPr>
        <w:jc w:val="both"/>
        <w:rPr>
          <w:rFonts w:ascii="Arial" w:hAnsi="Arial" w:cs="Arial"/>
          <w:sz w:val="16"/>
          <w:szCs w:val="16"/>
        </w:rPr>
      </w:pPr>
      <w:r w:rsidRPr="00C76422">
        <w:rPr>
          <w:rFonts w:ascii="Arial" w:hAnsi="Arial" w:cs="Arial"/>
          <w:sz w:val="16"/>
          <w:szCs w:val="16"/>
        </w:rPr>
        <w:t xml:space="preserve">Más información en </w:t>
      </w:r>
      <w:hyperlink r:id="rId10" w:history="1">
        <w:r w:rsidR="007C1C1A" w:rsidRPr="003F56FE">
          <w:rPr>
            <w:rStyle w:val="Hipervnculo"/>
            <w:rFonts w:ascii="Arial" w:hAnsi="Arial" w:cs="Arial"/>
            <w:sz w:val="16"/>
            <w:szCs w:val="16"/>
          </w:rPr>
          <w:t>www.manpowergroup.es</w:t>
        </w:r>
      </w:hyperlink>
      <w:r w:rsidRPr="00C76422">
        <w:rPr>
          <w:rFonts w:ascii="Arial" w:hAnsi="Arial" w:cs="Arial"/>
          <w:sz w:val="16"/>
          <w:szCs w:val="16"/>
        </w:rPr>
        <w:t>.</w:t>
      </w:r>
    </w:p>
    <w:p w14:paraId="4A498259" w14:textId="1B60E822" w:rsidR="00493CFD" w:rsidRDefault="00493CFD" w:rsidP="00EA7C7E">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EA7C7E">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EA7C7E">
      <w:pPr>
        <w:tabs>
          <w:tab w:val="right" w:pos="8838"/>
        </w:tabs>
        <w:autoSpaceDE w:val="0"/>
        <w:autoSpaceDN w:val="0"/>
        <w:adjustRightInd w:val="0"/>
        <w:jc w:val="both"/>
        <w:rPr>
          <w:rFonts w:ascii="Arial" w:hAnsi="Arial" w:cs="Arial"/>
          <w:sz w:val="16"/>
          <w:szCs w:val="16"/>
        </w:rPr>
      </w:pPr>
    </w:p>
    <w:p w14:paraId="388A29FF" w14:textId="77777777" w:rsidR="001A2A76" w:rsidRPr="00CC188B" w:rsidRDefault="001A2A76" w:rsidP="00EA7C7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D8716B">
        <w:trPr>
          <w:trHeight w:val="1159"/>
        </w:trPr>
        <w:tc>
          <w:tcPr>
            <w:tcW w:w="2943" w:type="dxa"/>
            <w:hideMark/>
          </w:tcPr>
          <w:p w14:paraId="2779EAD6" w14:textId="0DACF617" w:rsidR="001A2A76" w:rsidRPr="00CC188B" w:rsidRDefault="001A2A76" w:rsidP="00EA7C7E">
            <w:pPr>
              <w:jc w:val="both"/>
              <w:outlineLvl w:val="0"/>
              <w:rPr>
                <w:rFonts w:ascii="Arial" w:hAnsi="Arial" w:cs="Arial"/>
                <w:b/>
                <w:sz w:val="16"/>
                <w:szCs w:val="16"/>
              </w:rPr>
            </w:pPr>
            <w:bookmarkStart w:id="8" w:name="_Hlk90207537"/>
            <w:r w:rsidRPr="00CC188B">
              <w:rPr>
                <w:rFonts w:ascii="Arial" w:hAnsi="Arial" w:cs="Arial"/>
                <w:b/>
                <w:sz w:val="16"/>
                <w:szCs w:val="16"/>
              </w:rPr>
              <w:t>ManpowerGroup</w:t>
            </w:r>
          </w:p>
          <w:p w14:paraId="0B32ED5C" w14:textId="77777777" w:rsidR="001A2A76" w:rsidRPr="00CC188B" w:rsidRDefault="001A2A76" w:rsidP="00EA7C7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000000" w:rsidP="00A73C99">
            <w:pPr>
              <w:jc w:val="both"/>
              <w:rPr>
                <w:rFonts w:ascii="Arial" w:hAnsi="Arial" w:cs="Arial"/>
                <w:sz w:val="16"/>
                <w:szCs w:val="16"/>
              </w:rPr>
            </w:pPr>
            <w:hyperlink r:id="rId11"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EA7C7E">
            <w:pPr>
              <w:jc w:val="both"/>
              <w:rPr>
                <w:rFonts w:ascii="Arial" w:hAnsi="Arial" w:cs="Arial"/>
                <w:sz w:val="16"/>
                <w:szCs w:val="16"/>
                <w:lang w:val="ca-ES"/>
              </w:rPr>
            </w:pPr>
          </w:p>
        </w:tc>
        <w:tc>
          <w:tcPr>
            <w:tcW w:w="3028" w:type="dxa"/>
          </w:tcPr>
          <w:p w14:paraId="6AA9BA0E" w14:textId="7F997798" w:rsidR="001A2A76" w:rsidRPr="00CC188B" w:rsidRDefault="003509A5" w:rsidP="00336187">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7C09B9DE" w14:textId="77777777" w:rsidR="003509A5" w:rsidRPr="00CC188B" w:rsidRDefault="003509A5" w:rsidP="00336187">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707C7B40" w14:textId="77777777" w:rsidR="003509A5" w:rsidRPr="00CC188B" w:rsidRDefault="00000000"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CC188B">
                <w:rPr>
                  <w:rStyle w:val="Hipervnculo"/>
                  <w:rFonts w:ascii="Arial" w:hAnsi="Arial" w:cs="Arial"/>
                  <w:color w:val="1155CC"/>
                  <w:sz w:val="16"/>
                  <w:szCs w:val="16"/>
                </w:rPr>
                <w:t>isabel@indiepr.es</w:t>
              </w:r>
            </w:hyperlink>
          </w:p>
          <w:p w14:paraId="1F0ADA15" w14:textId="77777777" w:rsidR="00336187" w:rsidRPr="00CC188B" w:rsidRDefault="00336187" w:rsidP="003509A5">
            <w:pPr>
              <w:pStyle w:val="NormalWeb"/>
              <w:spacing w:before="0" w:beforeAutospacing="0" w:after="0" w:afterAutospacing="0"/>
              <w:jc w:val="both"/>
              <w:rPr>
                <w:rFonts w:ascii="Arial" w:hAnsi="Arial" w:cs="Arial"/>
                <w:sz w:val="16"/>
                <w:szCs w:val="16"/>
              </w:rPr>
            </w:pPr>
          </w:p>
          <w:p w14:paraId="49BBC84D" w14:textId="23DBE9B1" w:rsidR="003509A5" w:rsidRPr="00CC188B" w:rsidRDefault="00EF7ED2" w:rsidP="003509A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43FFFD20" w14:textId="63E76B81"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6CF1E260" w:rsidR="001A2A76" w:rsidRPr="004B5032" w:rsidRDefault="00000000" w:rsidP="004B5032">
            <w:pPr>
              <w:pStyle w:val="NormalWeb"/>
              <w:spacing w:before="0" w:beforeAutospacing="0" w:after="0" w:afterAutospacing="0"/>
              <w:jc w:val="both"/>
              <w:rPr>
                <w:rFonts w:ascii="Arial" w:hAnsi="Arial" w:cs="Arial"/>
                <w:color w:val="1155CC"/>
                <w:sz w:val="16"/>
                <w:szCs w:val="16"/>
                <w:u w:val="single"/>
              </w:rPr>
            </w:pPr>
            <w:hyperlink r:id="rId13" w:history="1">
              <w:r w:rsidR="00894DEA" w:rsidRPr="00CC188B">
                <w:rPr>
                  <w:rStyle w:val="Hipervnculo"/>
                  <w:rFonts w:ascii="Arial" w:hAnsi="Arial" w:cs="Arial"/>
                  <w:color w:val="1155CC"/>
                  <w:sz w:val="16"/>
                  <w:szCs w:val="16"/>
                </w:rPr>
                <w:t>cristina@indiepr.es</w:t>
              </w:r>
            </w:hyperlink>
          </w:p>
        </w:tc>
      </w:tr>
      <w:bookmarkEnd w:id="6"/>
      <w:bookmarkEnd w:id="7"/>
      <w:bookmarkEnd w:id="8"/>
    </w:tbl>
    <w:p w14:paraId="0F55B214" w14:textId="77777777" w:rsidR="008E54AD" w:rsidRPr="00687087" w:rsidRDefault="008E54AD" w:rsidP="00090345">
      <w:pPr>
        <w:tabs>
          <w:tab w:val="right" w:pos="8838"/>
        </w:tabs>
        <w:autoSpaceDE w:val="0"/>
        <w:autoSpaceDN w:val="0"/>
        <w:adjustRightInd w:val="0"/>
        <w:jc w:val="both"/>
        <w:rPr>
          <w:rFonts w:ascii="Arial" w:hAnsi="Arial" w:cs="Arial"/>
          <w:b/>
          <w:bCs/>
          <w:sz w:val="16"/>
          <w:szCs w:val="16"/>
          <w:lang w:val="en-US"/>
        </w:rPr>
      </w:pPr>
    </w:p>
    <w:sectPr w:rsidR="008E54AD" w:rsidRPr="00687087"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E53B" w14:textId="77777777" w:rsidR="0027680B" w:rsidRDefault="0027680B">
      <w:r>
        <w:separator/>
      </w:r>
    </w:p>
  </w:endnote>
  <w:endnote w:type="continuationSeparator" w:id="0">
    <w:p w14:paraId="1AA28F62" w14:textId="77777777" w:rsidR="0027680B" w:rsidRDefault="0027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1278" w14:textId="77777777" w:rsidR="0027680B" w:rsidRDefault="0027680B">
      <w:r>
        <w:separator/>
      </w:r>
    </w:p>
  </w:footnote>
  <w:footnote w:type="continuationSeparator" w:id="0">
    <w:p w14:paraId="6624BCE3" w14:textId="77777777" w:rsidR="0027680B" w:rsidRDefault="0027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516C"/>
    <w:rsid w:val="00042488"/>
    <w:rsid w:val="000507C4"/>
    <w:rsid w:val="00063579"/>
    <w:rsid w:val="00066C14"/>
    <w:rsid w:val="000869A2"/>
    <w:rsid w:val="00090345"/>
    <w:rsid w:val="000A1973"/>
    <w:rsid w:val="000C41F9"/>
    <w:rsid w:val="000D2B5A"/>
    <w:rsid w:val="0012170F"/>
    <w:rsid w:val="00124DEA"/>
    <w:rsid w:val="001319E5"/>
    <w:rsid w:val="001324E2"/>
    <w:rsid w:val="001442A6"/>
    <w:rsid w:val="00156E14"/>
    <w:rsid w:val="00171AAA"/>
    <w:rsid w:val="001740C7"/>
    <w:rsid w:val="00181155"/>
    <w:rsid w:val="00190E3D"/>
    <w:rsid w:val="001A2A76"/>
    <w:rsid w:val="001B39AD"/>
    <w:rsid w:val="001F3A45"/>
    <w:rsid w:val="00204E64"/>
    <w:rsid w:val="002059D2"/>
    <w:rsid w:val="00205D68"/>
    <w:rsid w:val="00212129"/>
    <w:rsid w:val="002246BA"/>
    <w:rsid w:val="00231877"/>
    <w:rsid w:val="002331A8"/>
    <w:rsid w:val="0024317A"/>
    <w:rsid w:val="0027680B"/>
    <w:rsid w:val="00294475"/>
    <w:rsid w:val="002A3D92"/>
    <w:rsid w:val="002A78A1"/>
    <w:rsid w:val="002B3F52"/>
    <w:rsid w:val="002C01E7"/>
    <w:rsid w:val="002C02D9"/>
    <w:rsid w:val="002D032D"/>
    <w:rsid w:val="002F2E0A"/>
    <w:rsid w:val="002F4816"/>
    <w:rsid w:val="003006FC"/>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43A21"/>
    <w:rsid w:val="004612C2"/>
    <w:rsid w:val="00485E70"/>
    <w:rsid w:val="00493CFD"/>
    <w:rsid w:val="004958BB"/>
    <w:rsid w:val="00497689"/>
    <w:rsid w:val="004B5032"/>
    <w:rsid w:val="004C0F40"/>
    <w:rsid w:val="004C607E"/>
    <w:rsid w:val="004D1FAF"/>
    <w:rsid w:val="004E23C4"/>
    <w:rsid w:val="004F67EC"/>
    <w:rsid w:val="00512001"/>
    <w:rsid w:val="005201CA"/>
    <w:rsid w:val="00533536"/>
    <w:rsid w:val="00541A7B"/>
    <w:rsid w:val="00546498"/>
    <w:rsid w:val="00547D42"/>
    <w:rsid w:val="00561B53"/>
    <w:rsid w:val="00576DDF"/>
    <w:rsid w:val="00577B92"/>
    <w:rsid w:val="005A7DB1"/>
    <w:rsid w:val="005A7E9C"/>
    <w:rsid w:val="005C33ED"/>
    <w:rsid w:val="005C4439"/>
    <w:rsid w:val="005D1AE9"/>
    <w:rsid w:val="005D5DC2"/>
    <w:rsid w:val="005E0E99"/>
    <w:rsid w:val="005E4173"/>
    <w:rsid w:val="005F1CEB"/>
    <w:rsid w:val="006213E2"/>
    <w:rsid w:val="0064466A"/>
    <w:rsid w:val="006515B4"/>
    <w:rsid w:val="00652342"/>
    <w:rsid w:val="00663580"/>
    <w:rsid w:val="00687087"/>
    <w:rsid w:val="00694B11"/>
    <w:rsid w:val="006972C0"/>
    <w:rsid w:val="006A1012"/>
    <w:rsid w:val="006B6CC7"/>
    <w:rsid w:val="006E3790"/>
    <w:rsid w:val="006E6724"/>
    <w:rsid w:val="006E6A20"/>
    <w:rsid w:val="00710280"/>
    <w:rsid w:val="00720F29"/>
    <w:rsid w:val="0072269E"/>
    <w:rsid w:val="00731C5F"/>
    <w:rsid w:val="00750181"/>
    <w:rsid w:val="00750C5B"/>
    <w:rsid w:val="00763C96"/>
    <w:rsid w:val="007A0082"/>
    <w:rsid w:val="007A1361"/>
    <w:rsid w:val="007A74B1"/>
    <w:rsid w:val="007B59D1"/>
    <w:rsid w:val="007B679F"/>
    <w:rsid w:val="007C1C1A"/>
    <w:rsid w:val="007E3CDF"/>
    <w:rsid w:val="00801C70"/>
    <w:rsid w:val="00822154"/>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8F1BBD"/>
    <w:rsid w:val="00910200"/>
    <w:rsid w:val="00927308"/>
    <w:rsid w:val="00932CB7"/>
    <w:rsid w:val="00942998"/>
    <w:rsid w:val="009436E0"/>
    <w:rsid w:val="0096266D"/>
    <w:rsid w:val="0097553E"/>
    <w:rsid w:val="00977BE7"/>
    <w:rsid w:val="00980C09"/>
    <w:rsid w:val="00981941"/>
    <w:rsid w:val="009A0E87"/>
    <w:rsid w:val="009A1EB0"/>
    <w:rsid w:val="009A3526"/>
    <w:rsid w:val="009A6F8A"/>
    <w:rsid w:val="009C2675"/>
    <w:rsid w:val="009D3CF7"/>
    <w:rsid w:val="009E6171"/>
    <w:rsid w:val="009F01EA"/>
    <w:rsid w:val="009F1332"/>
    <w:rsid w:val="009F7DB9"/>
    <w:rsid w:val="009F7E1C"/>
    <w:rsid w:val="00A41710"/>
    <w:rsid w:val="00A50B4D"/>
    <w:rsid w:val="00A52AAA"/>
    <w:rsid w:val="00A52E71"/>
    <w:rsid w:val="00A56426"/>
    <w:rsid w:val="00A574BF"/>
    <w:rsid w:val="00A7208B"/>
    <w:rsid w:val="00A73C99"/>
    <w:rsid w:val="00AA5C1C"/>
    <w:rsid w:val="00AB24A2"/>
    <w:rsid w:val="00AF11D7"/>
    <w:rsid w:val="00AF223E"/>
    <w:rsid w:val="00B03429"/>
    <w:rsid w:val="00B05CD9"/>
    <w:rsid w:val="00B05D48"/>
    <w:rsid w:val="00B116AF"/>
    <w:rsid w:val="00B5158D"/>
    <w:rsid w:val="00B628EE"/>
    <w:rsid w:val="00B8069B"/>
    <w:rsid w:val="00B963D0"/>
    <w:rsid w:val="00BB1160"/>
    <w:rsid w:val="00BB39D9"/>
    <w:rsid w:val="00BC45B7"/>
    <w:rsid w:val="00BC46BE"/>
    <w:rsid w:val="00BE22AA"/>
    <w:rsid w:val="00BF2547"/>
    <w:rsid w:val="00BF5E11"/>
    <w:rsid w:val="00BF7FDF"/>
    <w:rsid w:val="00C145C5"/>
    <w:rsid w:val="00C536C9"/>
    <w:rsid w:val="00C61314"/>
    <w:rsid w:val="00C7314E"/>
    <w:rsid w:val="00C76422"/>
    <w:rsid w:val="00C83097"/>
    <w:rsid w:val="00C91CCE"/>
    <w:rsid w:val="00C952AF"/>
    <w:rsid w:val="00CA0905"/>
    <w:rsid w:val="00CC0837"/>
    <w:rsid w:val="00CC188B"/>
    <w:rsid w:val="00CF74FF"/>
    <w:rsid w:val="00D02D48"/>
    <w:rsid w:val="00D04D6F"/>
    <w:rsid w:val="00D21BC9"/>
    <w:rsid w:val="00D27B5C"/>
    <w:rsid w:val="00D3343D"/>
    <w:rsid w:val="00D3571D"/>
    <w:rsid w:val="00D36245"/>
    <w:rsid w:val="00D44426"/>
    <w:rsid w:val="00D63AB2"/>
    <w:rsid w:val="00D64482"/>
    <w:rsid w:val="00D7641E"/>
    <w:rsid w:val="00D90EF8"/>
    <w:rsid w:val="00D92B75"/>
    <w:rsid w:val="00D96635"/>
    <w:rsid w:val="00DB0F1B"/>
    <w:rsid w:val="00DB45BA"/>
    <w:rsid w:val="00DB5EEF"/>
    <w:rsid w:val="00DC304A"/>
    <w:rsid w:val="00DC6709"/>
    <w:rsid w:val="00DD4924"/>
    <w:rsid w:val="00DF1DDF"/>
    <w:rsid w:val="00DF2519"/>
    <w:rsid w:val="00E10601"/>
    <w:rsid w:val="00E13675"/>
    <w:rsid w:val="00E13BED"/>
    <w:rsid w:val="00E14B59"/>
    <w:rsid w:val="00E151DB"/>
    <w:rsid w:val="00E375F1"/>
    <w:rsid w:val="00E640EF"/>
    <w:rsid w:val="00E675C5"/>
    <w:rsid w:val="00E845CF"/>
    <w:rsid w:val="00E91772"/>
    <w:rsid w:val="00E9600E"/>
    <w:rsid w:val="00EA5DFA"/>
    <w:rsid w:val="00EA7C7E"/>
    <w:rsid w:val="00ED4D55"/>
    <w:rsid w:val="00ED788C"/>
    <w:rsid w:val="00EF4233"/>
    <w:rsid w:val="00EF7ED2"/>
    <w:rsid w:val="00F00E57"/>
    <w:rsid w:val="00F03D39"/>
    <w:rsid w:val="00F0730E"/>
    <w:rsid w:val="00F17A4D"/>
    <w:rsid w:val="00F24D52"/>
    <w:rsid w:val="00F34988"/>
    <w:rsid w:val="00F403AB"/>
    <w:rsid w:val="00F45079"/>
    <w:rsid w:val="00F45C5A"/>
    <w:rsid w:val="00F46A83"/>
    <w:rsid w:val="00F5395E"/>
    <w:rsid w:val="00F66A0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ristina@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estudio-de-proyeccion-de-empleo-de-manpowergroup-para-el-primer-trimestre-de-202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3</cp:revision>
  <cp:lastPrinted>2022-12-19T17:21:00Z</cp:lastPrinted>
  <dcterms:created xsi:type="dcterms:W3CDTF">2023-12-12T08:58:00Z</dcterms:created>
  <dcterms:modified xsi:type="dcterms:W3CDTF">2023-12-12T08:58:00Z</dcterms:modified>
</cp:coreProperties>
</file>