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943CA" w14:textId="0F62B5AE" w:rsidR="000A78F6" w:rsidRDefault="00B91B9C" w:rsidP="000B23A7">
      <w:pPr>
        <w:pStyle w:val="Prrafodelista"/>
        <w:spacing w:before="120" w:line="288" w:lineRule="auto"/>
        <w:jc w:val="center"/>
        <w:rPr>
          <w:rFonts w:ascii="Arial" w:eastAsia="Arial" w:hAnsi="Arial" w:cs="Arial"/>
          <w:b/>
          <w:bCs/>
          <w:sz w:val="40"/>
          <w:szCs w:val="40"/>
        </w:rPr>
      </w:pPr>
      <w:bookmarkStart w:id="0" w:name="_Hlk113557077"/>
      <w:r>
        <w:rPr>
          <w:rFonts w:ascii="Arial" w:eastAsia="Arial" w:hAnsi="Arial" w:cs="Arial"/>
          <w:b/>
          <w:bCs/>
          <w:sz w:val="40"/>
          <w:szCs w:val="40"/>
        </w:rPr>
        <w:t>Las empresas priorizan la formación frente a las subidas salariales para afrontar el desajuste de talento</w:t>
      </w:r>
    </w:p>
    <w:p w14:paraId="7858DC8D" w14:textId="77777777" w:rsidR="000A78F6" w:rsidRDefault="000A78F6" w:rsidP="000A78F6">
      <w:pPr>
        <w:spacing w:before="120" w:line="288" w:lineRule="auto"/>
        <w:jc w:val="both"/>
        <w:rPr>
          <w:rFonts w:ascii="Arial" w:eastAsia="Arial" w:hAnsi="Arial" w:cs="Arial"/>
          <w:b/>
          <w:i/>
          <w:iCs/>
          <w:sz w:val="22"/>
          <w:szCs w:val="22"/>
        </w:rPr>
      </w:pPr>
      <w:bookmarkStart w:id="1" w:name="_Hlk137140302"/>
      <w:bookmarkStart w:id="2" w:name="_Hlk113557102"/>
      <w:bookmarkStart w:id="3" w:name="_Hlk90223537"/>
      <w:bookmarkStart w:id="4" w:name="_Hlk89449303"/>
      <w:bookmarkStart w:id="5" w:name="_Hlk89449332"/>
      <w:bookmarkStart w:id="6" w:name="_Hlk215568333"/>
      <w:bookmarkEnd w:id="0"/>
    </w:p>
    <w:p w14:paraId="495A56B0" w14:textId="7BBFC9C5" w:rsidR="000A78F6" w:rsidRPr="00B91B9C" w:rsidRDefault="000A78F6" w:rsidP="000A78F6">
      <w:pPr>
        <w:pStyle w:val="Prrafodelista"/>
        <w:numPr>
          <w:ilvl w:val="0"/>
          <w:numId w:val="13"/>
        </w:numPr>
        <w:spacing w:before="120" w:line="276" w:lineRule="auto"/>
        <w:jc w:val="both"/>
        <w:rPr>
          <w:rFonts w:ascii="Arial" w:eastAsia="Arial" w:hAnsi="Arial" w:cs="Arial"/>
          <w:b/>
          <w:sz w:val="22"/>
          <w:szCs w:val="22"/>
        </w:rPr>
      </w:pPr>
      <w:r w:rsidRPr="00B91B9C">
        <w:rPr>
          <w:rFonts w:ascii="Arial" w:eastAsia="Arial" w:hAnsi="Arial" w:cs="Arial"/>
          <w:b/>
          <w:sz w:val="22"/>
          <w:szCs w:val="22"/>
        </w:rPr>
        <w:t xml:space="preserve">El 29% de las organizaciones prioriza el </w:t>
      </w:r>
      <w:r w:rsidRPr="00B91B9C">
        <w:rPr>
          <w:rFonts w:ascii="Arial" w:eastAsia="Arial" w:hAnsi="Arial" w:cs="Arial"/>
          <w:b/>
          <w:i/>
          <w:iCs/>
          <w:sz w:val="22"/>
          <w:szCs w:val="22"/>
        </w:rPr>
        <w:t>upskilling</w:t>
      </w:r>
      <w:r w:rsidRPr="00B91B9C">
        <w:rPr>
          <w:rFonts w:ascii="Arial" w:eastAsia="Arial" w:hAnsi="Arial" w:cs="Arial"/>
          <w:b/>
          <w:sz w:val="22"/>
          <w:szCs w:val="22"/>
        </w:rPr>
        <w:t xml:space="preserve"> y </w:t>
      </w:r>
      <w:r w:rsidRPr="00B91B9C">
        <w:rPr>
          <w:rFonts w:ascii="Arial" w:eastAsia="Arial" w:hAnsi="Arial" w:cs="Arial"/>
          <w:b/>
          <w:i/>
          <w:iCs/>
          <w:sz w:val="22"/>
          <w:szCs w:val="22"/>
        </w:rPr>
        <w:t>reskilling</w:t>
      </w:r>
      <w:r w:rsidRPr="00B91B9C">
        <w:rPr>
          <w:rFonts w:ascii="Arial" w:eastAsia="Arial" w:hAnsi="Arial" w:cs="Arial"/>
          <w:b/>
          <w:sz w:val="22"/>
          <w:szCs w:val="22"/>
        </w:rPr>
        <w:t xml:space="preserve"> de sus </w:t>
      </w:r>
      <w:r w:rsidR="00B91B9C">
        <w:rPr>
          <w:rFonts w:ascii="Arial" w:eastAsia="Arial" w:hAnsi="Arial" w:cs="Arial"/>
          <w:b/>
          <w:sz w:val="22"/>
          <w:szCs w:val="22"/>
        </w:rPr>
        <w:t>equipos</w:t>
      </w:r>
      <w:r w:rsidRPr="00B91B9C">
        <w:rPr>
          <w:rFonts w:ascii="Arial" w:eastAsia="Arial" w:hAnsi="Arial" w:cs="Arial"/>
          <w:b/>
          <w:sz w:val="22"/>
          <w:szCs w:val="22"/>
        </w:rPr>
        <w:t>, frente al 17% que opta por incrementar las retribuciones</w:t>
      </w:r>
    </w:p>
    <w:p w14:paraId="54E9D5C8" w14:textId="77777777" w:rsidR="000A78F6" w:rsidRPr="00B91B9C" w:rsidRDefault="000A78F6" w:rsidP="000A78F6">
      <w:pPr>
        <w:pStyle w:val="Prrafodelista"/>
        <w:spacing w:before="120" w:line="276" w:lineRule="auto"/>
        <w:jc w:val="both"/>
        <w:rPr>
          <w:rFonts w:ascii="Arial" w:eastAsia="Arial" w:hAnsi="Arial" w:cs="Arial"/>
          <w:b/>
          <w:sz w:val="22"/>
          <w:szCs w:val="22"/>
        </w:rPr>
      </w:pPr>
    </w:p>
    <w:p w14:paraId="42DF08D3" w14:textId="4ECA5CD8" w:rsidR="000A78F6" w:rsidRPr="00B91B9C" w:rsidRDefault="000A78F6" w:rsidP="000A78F6">
      <w:pPr>
        <w:pStyle w:val="Prrafodelista"/>
        <w:numPr>
          <w:ilvl w:val="0"/>
          <w:numId w:val="13"/>
        </w:numPr>
        <w:spacing w:before="120" w:line="276" w:lineRule="auto"/>
        <w:jc w:val="both"/>
        <w:rPr>
          <w:rFonts w:ascii="Arial" w:eastAsia="Arial" w:hAnsi="Arial" w:cs="Arial"/>
          <w:b/>
          <w:sz w:val="22"/>
          <w:szCs w:val="22"/>
        </w:rPr>
      </w:pPr>
      <w:r w:rsidRPr="00B91B9C">
        <w:rPr>
          <w:rFonts w:ascii="Arial" w:eastAsia="Arial" w:hAnsi="Arial" w:cs="Arial"/>
          <w:b/>
          <w:sz w:val="22"/>
          <w:szCs w:val="22"/>
        </w:rPr>
        <w:t xml:space="preserve">Construcción e Inmobiliario es el único sector donde las subidas salariales igualan a la formación como principal estrategia para </w:t>
      </w:r>
      <w:r w:rsidR="00B91B9C">
        <w:rPr>
          <w:rFonts w:ascii="Arial" w:eastAsia="Arial" w:hAnsi="Arial" w:cs="Arial"/>
          <w:b/>
          <w:sz w:val="22"/>
          <w:szCs w:val="22"/>
        </w:rPr>
        <w:t>atraer</w:t>
      </w:r>
      <w:r w:rsidRPr="00B91B9C">
        <w:rPr>
          <w:rFonts w:ascii="Arial" w:eastAsia="Arial" w:hAnsi="Arial" w:cs="Arial"/>
          <w:b/>
          <w:sz w:val="22"/>
          <w:szCs w:val="22"/>
        </w:rPr>
        <w:t xml:space="preserve"> y </w:t>
      </w:r>
      <w:r w:rsidR="00B91B9C">
        <w:rPr>
          <w:rFonts w:ascii="Arial" w:eastAsia="Arial" w:hAnsi="Arial" w:cs="Arial"/>
          <w:b/>
          <w:sz w:val="22"/>
          <w:szCs w:val="22"/>
        </w:rPr>
        <w:t>fidelizar</w:t>
      </w:r>
      <w:r w:rsidRPr="00B91B9C">
        <w:rPr>
          <w:rFonts w:ascii="Arial" w:eastAsia="Arial" w:hAnsi="Arial" w:cs="Arial"/>
          <w:b/>
          <w:sz w:val="22"/>
          <w:szCs w:val="22"/>
        </w:rPr>
        <w:t xml:space="preserve"> talento</w:t>
      </w:r>
    </w:p>
    <w:p w14:paraId="2178CFFD" w14:textId="77777777" w:rsidR="000A78F6" w:rsidRPr="000A78F6" w:rsidRDefault="000A78F6" w:rsidP="000A78F6">
      <w:pPr>
        <w:pStyle w:val="Prrafodelista"/>
        <w:rPr>
          <w:rFonts w:ascii="Arial" w:eastAsia="Arial" w:hAnsi="Arial" w:cs="Arial"/>
          <w:b/>
          <w:sz w:val="22"/>
          <w:szCs w:val="22"/>
        </w:rPr>
      </w:pPr>
    </w:p>
    <w:p w14:paraId="735939EA" w14:textId="0126BF76" w:rsidR="00A04546" w:rsidRPr="00A04546" w:rsidRDefault="000A7DFE" w:rsidP="00A04546">
      <w:pPr>
        <w:spacing w:line="300" w:lineRule="atLeast"/>
        <w:jc w:val="both"/>
        <w:rPr>
          <w:rFonts w:ascii="Arial" w:eastAsia="Arial" w:hAnsi="Arial" w:cs="Arial"/>
          <w:bCs/>
          <w:sz w:val="20"/>
          <w:szCs w:val="20"/>
        </w:rPr>
      </w:pPr>
      <w:r w:rsidRPr="00A04546">
        <w:rPr>
          <w:rFonts w:ascii="Arial" w:eastAsia="Arial" w:hAnsi="Arial" w:cs="Arial"/>
          <w:b/>
          <w:sz w:val="20"/>
          <w:szCs w:val="20"/>
        </w:rPr>
        <w:t xml:space="preserve">Madrid, </w:t>
      </w:r>
      <w:r w:rsidR="00A738D9" w:rsidRPr="00A04546">
        <w:rPr>
          <w:rFonts w:ascii="Arial" w:eastAsia="Arial" w:hAnsi="Arial" w:cs="Arial"/>
          <w:b/>
          <w:sz w:val="20"/>
          <w:szCs w:val="20"/>
        </w:rPr>
        <w:t>1</w:t>
      </w:r>
      <w:r w:rsidRPr="00A04546">
        <w:rPr>
          <w:rFonts w:ascii="Arial" w:eastAsia="Arial" w:hAnsi="Arial" w:cs="Arial"/>
          <w:b/>
          <w:sz w:val="20"/>
          <w:szCs w:val="20"/>
        </w:rPr>
        <w:t xml:space="preserve"> de </w:t>
      </w:r>
      <w:r w:rsidR="007B38F9">
        <w:rPr>
          <w:rFonts w:ascii="Arial" w:eastAsia="Arial" w:hAnsi="Arial" w:cs="Arial"/>
          <w:b/>
          <w:sz w:val="20"/>
          <w:szCs w:val="20"/>
        </w:rPr>
        <w:t>septiembre</w:t>
      </w:r>
      <w:r w:rsidRPr="00A04546">
        <w:rPr>
          <w:rFonts w:ascii="Arial" w:eastAsia="Arial" w:hAnsi="Arial" w:cs="Arial"/>
          <w:b/>
          <w:sz w:val="20"/>
          <w:szCs w:val="20"/>
        </w:rPr>
        <w:t xml:space="preserve"> de 202</w:t>
      </w:r>
      <w:r w:rsidR="00A328F3" w:rsidRPr="00A04546">
        <w:rPr>
          <w:rFonts w:ascii="Arial" w:eastAsia="Arial" w:hAnsi="Arial" w:cs="Arial"/>
          <w:b/>
          <w:sz w:val="20"/>
          <w:szCs w:val="20"/>
        </w:rPr>
        <w:t>6</w:t>
      </w:r>
      <w:r w:rsidR="00E376BD" w:rsidRPr="00A04546">
        <w:rPr>
          <w:rFonts w:ascii="Arial" w:eastAsia="Arial" w:hAnsi="Arial" w:cs="Arial"/>
          <w:b/>
          <w:sz w:val="20"/>
          <w:szCs w:val="20"/>
        </w:rPr>
        <w:t>.</w:t>
      </w:r>
      <w:r w:rsidR="00956D9A" w:rsidRPr="00A04546">
        <w:rPr>
          <w:rFonts w:ascii="Arial" w:eastAsia="Arial" w:hAnsi="Arial" w:cs="Arial"/>
          <w:b/>
          <w:sz w:val="20"/>
          <w:szCs w:val="20"/>
        </w:rPr>
        <w:t>-</w:t>
      </w:r>
      <w:bookmarkEnd w:id="1"/>
      <w:bookmarkEnd w:id="2"/>
      <w:r w:rsidR="00175C72" w:rsidRPr="00A04546">
        <w:rPr>
          <w:rFonts w:ascii="Arial" w:eastAsia="Arial" w:hAnsi="Arial" w:cs="Arial"/>
          <w:b/>
          <w:sz w:val="20"/>
          <w:szCs w:val="20"/>
        </w:rPr>
        <w:t xml:space="preserve"> </w:t>
      </w:r>
      <w:r w:rsidR="00B91B9C" w:rsidRPr="00A04546">
        <w:rPr>
          <w:rFonts w:ascii="Arial" w:eastAsia="Arial" w:hAnsi="Arial" w:cs="Arial"/>
          <w:bCs/>
          <w:sz w:val="20"/>
          <w:szCs w:val="20"/>
        </w:rPr>
        <w:t xml:space="preserve">En un mercado laboral en el que encontrar profesionales cualificados sigue siendo un desafío, las empresas están reforzando su apuesta por el desarrollo del talento interno. Según el estudio </w:t>
      </w:r>
      <w:hyperlink r:id="rId8" w:history="1">
        <w:r w:rsidR="00B91B9C" w:rsidRPr="00A04546">
          <w:rPr>
            <w:rStyle w:val="Hipervnculo"/>
            <w:rFonts w:ascii="Arial" w:eastAsia="Arial" w:hAnsi="Arial" w:cs="Arial"/>
            <w:bCs/>
            <w:i/>
            <w:iCs/>
            <w:sz w:val="20"/>
            <w:szCs w:val="20"/>
          </w:rPr>
          <w:t>Desajuste de talento 2026</w:t>
        </w:r>
      </w:hyperlink>
      <w:r w:rsidR="00B91B9C" w:rsidRPr="00A04546">
        <w:rPr>
          <w:rFonts w:ascii="Arial" w:eastAsia="Arial" w:hAnsi="Arial" w:cs="Arial"/>
          <w:bCs/>
          <w:sz w:val="20"/>
          <w:szCs w:val="20"/>
        </w:rPr>
        <w:t xml:space="preserve"> de</w:t>
      </w:r>
      <w:r w:rsidR="004726A5" w:rsidRPr="00A04546">
        <w:rPr>
          <w:rFonts w:ascii="Arial" w:eastAsia="Arial" w:hAnsi="Arial" w:cs="Arial"/>
          <w:bCs/>
          <w:sz w:val="20"/>
          <w:szCs w:val="20"/>
        </w:rPr>
        <w:t xml:space="preserve"> </w:t>
      </w:r>
      <w:r w:rsidR="00B91B9C" w:rsidRPr="00A04546">
        <w:rPr>
          <w:rFonts w:ascii="Arial" w:eastAsia="Arial" w:hAnsi="Arial" w:cs="Arial"/>
          <w:bCs/>
          <w:sz w:val="20"/>
          <w:szCs w:val="20"/>
        </w:rPr>
        <w:t xml:space="preserve">ManpowerGroup, el 29% de las organizaciones impulsa programas de </w:t>
      </w:r>
      <w:r w:rsidR="00B91B9C" w:rsidRPr="00A04546">
        <w:rPr>
          <w:rFonts w:ascii="Arial" w:eastAsia="Arial" w:hAnsi="Arial" w:cs="Arial"/>
          <w:bCs/>
          <w:i/>
          <w:iCs/>
          <w:sz w:val="20"/>
          <w:szCs w:val="20"/>
        </w:rPr>
        <w:t>upskilling</w:t>
      </w:r>
      <w:r w:rsidR="00B91B9C" w:rsidRPr="00A04546">
        <w:rPr>
          <w:rFonts w:ascii="Arial" w:eastAsia="Arial" w:hAnsi="Arial" w:cs="Arial"/>
          <w:bCs/>
          <w:sz w:val="20"/>
          <w:szCs w:val="20"/>
        </w:rPr>
        <w:t xml:space="preserve"> y </w:t>
      </w:r>
      <w:r w:rsidR="00B91B9C" w:rsidRPr="00A04546">
        <w:rPr>
          <w:rFonts w:ascii="Arial" w:eastAsia="Arial" w:hAnsi="Arial" w:cs="Arial"/>
          <w:bCs/>
          <w:i/>
          <w:iCs/>
          <w:sz w:val="20"/>
          <w:szCs w:val="20"/>
        </w:rPr>
        <w:t>reskilling</w:t>
      </w:r>
      <w:r w:rsidR="00B91B9C" w:rsidRPr="00A04546">
        <w:rPr>
          <w:rFonts w:ascii="Arial" w:eastAsia="Arial" w:hAnsi="Arial" w:cs="Arial"/>
          <w:bCs/>
          <w:sz w:val="20"/>
          <w:szCs w:val="20"/>
        </w:rPr>
        <w:t xml:space="preserve"> como principal medida para afrontar la escasez de profesionales, frente al 17% que opta por incrementar los salarios.</w:t>
      </w:r>
      <w:r w:rsidR="00DD1585" w:rsidRPr="00A04546">
        <w:rPr>
          <w:rFonts w:ascii="Arial" w:eastAsia="Arial" w:hAnsi="Arial" w:cs="Arial"/>
          <w:bCs/>
          <w:sz w:val="20"/>
          <w:szCs w:val="20"/>
        </w:rPr>
        <w:t xml:space="preserve"> De hecho, el 91% de las empresas está adoptando algún tipo de iniciativa para reducir el impacto del desajuste de talento en sus organizaciones.</w:t>
      </w:r>
    </w:p>
    <w:p w14:paraId="13E17EB6" w14:textId="1D69EF62" w:rsidR="000A78F6" w:rsidRPr="00A04546" w:rsidRDefault="00753B9F" w:rsidP="00A04546">
      <w:pPr>
        <w:spacing w:before="120" w:line="276" w:lineRule="auto"/>
        <w:jc w:val="both"/>
        <w:rPr>
          <w:rFonts w:ascii="Arial" w:eastAsia="Arial" w:hAnsi="Arial" w:cs="Arial"/>
          <w:bCs/>
          <w:sz w:val="20"/>
          <w:szCs w:val="20"/>
        </w:rPr>
      </w:pPr>
      <w:r w:rsidRPr="00A04546">
        <w:rPr>
          <w:rFonts w:ascii="Arial" w:eastAsia="Arial" w:hAnsi="Arial" w:cs="Arial"/>
          <w:bCs/>
          <w:sz w:val="20"/>
          <w:szCs w:val="20"/>
        </w:rPr>
        <w:t xml:space="preserve">La formación se </w:t>
      </w:r>
      <w:r w:rsidR="00B91B9C" w:rsidRPr="00A04546">
        <w:rPr>
          <w:rFonts w:ascii="Arial" w:eastAsia="Arial" w:hAnsi="Arial" w:cs="Arial"/>
          <w:bCs/>
          <w:sz w:val="20"/>
          <w:szCs w:val="20"/>
        </w:rPr>
        <w:t>posiciona,</w:t>
      </w:r>
      <w:r w:rsidRPr="00A04546">
        <w:rPr>
          <w:rFonts w:ascii="Arial" w:eastAsia="Arial" w:hAnsi="Arial" w:cs="Arial"/>
          <w:bCs/>
          <w:sz w:val="20"/>
          <w:szCs w:val="20"/>
        </w:rPr>
        <w:t xml:space="preserve"> así como la estrategia más utilizada,</w:t>
      </w:r>
      <w:r w:rsidR="00B91B9C" w:rsidRPr="00A04546">
        <w:rPr>
          <w:rFonts w:ascii="Arial" w:eastAsia="Arial" w:hAnsi="Arial" w:cs="Arial"/>
          <w:bCs/>
          <w:sz w:val="20"/>
          <w:szCs w:val="20"/>
        </w:rPr>
        <w:t xml:space="preserve"> por delante de medidas como </w:t>
      </w:r>
      <w:r w:rsidRPr="00A04546">
        <w:rPr>
          <w:rFonts w:ascii="Arial" w:eastAsia="Arial" w:hAnsi="Arial" w:cs="Arial"/>
          <w:bCs/>
          <w:sz w:val="20"/>
          <w:szCs w:val="20"/>
        </w:rPr>
        <w:t xml:space="preserve">una mayor flexibilidad horaria (24%) o la flexibilidad en el lugar de trabajo mediante modelos híbridos o remotos (19%). </w:t>
      </w:r>
    </w:p>
    <w:p w14:paraId="593E3BF8" w14:textId="25F56DC5" w:rsidR="00DD1585" w:rsidRPr="00A04546" w:rsidRDefault="004C4461" w:rsidP="00A04546">
      <w:pPr>
        <w:spacing w:before="120" w:line="276" w:lineRule="auto"/>
        <w:jc w:val="both"/>
        <w:rPr>
          <w:rFonts w:ascii="Arial" w:eastAsia="Arial" w:hAnsi="Arial" w:cs="Arial"/>
          <w:bCs/>
          <w:sz w:val="20"/>
          <w:szCs w:val="20"/>
        </w:rPr>
      </w:pPr>
      <w:r w:rsidRPr="00A04546">
        <w:rPr>
          <w:rFonts w:ascii="Arial" w:eastAsia="Arial" w:hAnsi="Arial" w:cs="Arial"/>
          <w:bCs/>
          <w:i/>
          <w:iCs/>
          <w:sz w:val="20"/>
          <w:szCs w:val="20"/>
        </w:rPr>
        <w:t>«El desajuste de talento está transformando la forma en que las organizaciones desarrollan las capacidades que necesitan. Ya no se trata solo de atraer profesionales con todos los conocimientos, sino de combinar estrategias de upskilling y reskilling para actualizar competencias y preparar a los equipos para nuevas funciones”,</w:t>
      </w:r>
      <w:r w:rsidRPr="00A04546">
        <w:rPr>
          <w:rFonts w:ascii="Arial" w:eastAsia="Arial" w:hAnsi="Arial" w:cs="Arial"/>
          <w:bCs/>
          <w:sz w:val="20"/>
          <w:szCs w:val="20"/>
        </w:rPr>
        <w:t xml:space="preserve"> explica </w:t>
      </w:r>
      <w:r w:rsidRPr="00A04546">
        <w:rPr>
          <w:rFonts w:ascii="Arial" w:eastAsia="Arial" w:hAnsi="Arial" w:cs="Arial"/>
          <w:b/>
          <w:sz w:val="20"/>
          <w:szCs w:val="20"/>
        </w:rPr>
        <w:t>Orestes Wensell, director general de Talent Solutions.</w:t>
      </w:r>
      <w:r w:rsidRPr="00A04546">
        <w:rPr>
          <w:rFonts w:ascii="Arial" w:eastAsia="Arial" w:hAnsi="Arial" w:cs="Arial"/>
          <w:bCs/>
          <w:sz w:val="20"/>
          <w:szCs w:val="20"/>
        </w:rPr>
        <w:t xml:space="preserve"> “</w:t>
      </w:r>
      <w:r w:rsidRPr="00A04546">
        <w:rPr>
          <w:rFonts w:ascii="Arial" w:eastAsia="Arial" w:hAnsi="Arial" w:cs="Arial"/>
          <w:bCs/>
          <w:i/>
          <w:iCs/>
          <w:sz w:val="20"/>
          <w:szCs w:val="20"/>
        </w:rPr>
        <w:t>A ello se suma la creación de talento: identificar perfiles con una base de conocimientos, formarlos antes de su incorporación y adaptarlos a necesidades concretas del negocio. Este enfoque permite ampliar las fuentes de talento, reducir las brechas de capacidades y acelerar la cobertura de perfiles críticos. La formación se consolida, así como una palanca estratégica para la competitividad y la empleabilidad”, añade.</w:t>
      </w:r>
    </w:p>
    <w:p w14:paraId="48DE30EE" w14:textId="5320DBBD" w:rsidR="00753B9F" w:rsidRPr="00A04546" w:rsidRDefault="00DD1585" w:rsidP="00A04546">
      <w:pPr>
        <w:spacing w:before="120" w:line="276" w:lineRule="auto"/>
        <w:jc w:val="both"/>
        <w:rPr>
          <w:rFonts w:ascii="Arial" w:eastAsia="Arial" w:hAnsi="Arial" w:cs="Arial"/>
          <w:b/>
          <w:sz w:val="20"/>
          <w:szCs w:val="20"/>
        </w:rPr>
      </w:pPr>
      <w:r w:rsidRPr="00A04546">
        <w:rPr>
          <w:rFonts w:ascii="Arial" w:eastAsia="Arial" w:hAnsi="Arial" w:cs="Arial"/>
          <w:b/>
          <w:sz w:val="20"/>
          <w:szCs w:val="20"/>
        </w:rPr>
        <w:t>La estrategia varía según el sector</w:t>
      </w:r>
    </w:p>
    <w:p w14:paraId="150D2471" w14:textId="48E9C1E7" w:rsidR="00753B9F" w:rsidRPr="00A04546" w:rsidRDefault="00753B9F" w:rsidP="00A04546">
      <w:pPr>
        <w:spacing w:before="120" w:line="276" w:lineRule="auto"/>
        <w:jc w:val="both"/>
        <w:rPr>
          <w:rFonts w:ascii="Arial" w:eastAsia="Arial" w:hAnsi="Arial" w:cs="Arial"/>
          <w:bCs/>
          <w:sz w:val="20"/>
          <w:szCs w:val="20"/>
        </w:rPr>
      </w:pPr>
      <w:r w:rsidRPr="00A04546">
        <w:rPr>
          <w:rFonts w:ascii="Arial" w:eastAsia="Arial" w:hAnsi="Arial" w:cs="Arial"/>
          <w:bCs/>
          <w:sz w:val="20"/>
          <w:szCs w:val="20"/>
        </w:rPr>
        <w:t xml:space="preserve">Las diferencias entre sectores muestran, sin embargo, que las necesidades del mercado laboral no son homogéneas. El sector de </w:t>
      </w:r>
      <w:r w:rsidRPr="00A04546">
        <w:rPr>
          <w:rFonts w:ascii="Arial" w:eastAsia="Arial" w:hAnsi="Arial" w:cs="Arial"/>
          <w:b/>
          <w:sz w:val="20"/>
          <w:szCs w:val="20"/>
        </w:rPr>
        <w:t>Información</w:t>
      </w:r>
      <w:r w:rsidRPr="00A04546">
        <w:rPr>
          <w:rFonts w:ascii="Arial" w:eastAsia="Arial" w:hAnsi="Arial" w:cs="Arial"/>
          <w:bCs/>
          <w:sz w:val="20"/>
          <w:szCs w:val="20"/>
        </w:rPr>
        <w:t xml:space="preserve"> lidera la apuesta por el desarrollo del talento, con un 36% de las empresas invirtiendo en formación, mientras que apenas un 6% recurre a aumentos salariales. Una tendencia similar se observa en </w:t>
      </w:r>
      <w:r w:rsidRPr="00A04546">
        <w:rPr>
          <w:rFonts w:ascii="Arial" w:eastAsia="Arial" w:hAnsi="Arial" w:cs="Arial"/>
          <w:b/>
          <w:sz w:val="20"/>
          <w:szCs w:val="20"/>
        </w:rPr>
        <w:t>Industria</w:t>
      </w:r>
      <w:r w:rsidRPr="00A04546">
        <w:rPr>
          <w:rFonts w:ascii="Arial" w:eastAsia="Arial" w:hAnsi="Arial" w:cs="Arial"/>
          <w:bCs/>
          <w:sz w:val="20"/>
          <w:szCs w:val="20"/>
        </w:rPr>
        <w:t xml:space="preserve">, donde el 31% prioriza la recualificación frente al 10% que incrementa los sueldos, y en </w:t>
      </w:r>
      <w:r w:rsidRPr="00A04546">
        <w:rPr>
          <w:rFonts w:ascii="Arial" w:eastAsia="Arial" w:hAnsi="Arial" w:cs="Arial"/>
          <w:b/>
          <w:sz w:val="20"/>
          <w:szCs w:val="20"/>
        </w:rPr>
        <w:t>Recursos Naturales</w:t>
      </w:r>
      <w:r w:rsidRPr="00A04546">
        <w:rPr>
          <w:rFonts w:ascii="Arial" w:eastAsia="Arial" w:hAnsi="Arial" w:cs="Arial"/>
          <w:bCs/>
          <w:sz w:val="20"/>
          <w:szCs w:val="20"/>
        </w:rPr>
        <w:t>, con un 31% frente al 13%.</w:t>
      </w:r>
    </w:p>
    <w:p w14:paraId="0EC3977B" w14:textId="727442C6" w:rsidR="009B4BCF" w:rsidRPr="00A04546" w:rsidRDefault="00753B9F" w:rsidP="00A04546">
      <w:pPr>
        <w:spacing w:before="120" w:line="276" w:lineRule="auto"/>
        <w:jc w:val="both"/>
        <w:rPr>
          <w:rFonts w:ascii="Arial" w:eastAsia="Arial" w:hAnsi="Arial" w:cs="Arial"/>
          <w:bCs/>
          <w:sz w:val="20"/>
          <w:szCs w:val="20"/>
        </w:rPr>
      </w:pPr>
      <w:r w:rsidRPr="00A04546">
        <w:rPr>
          <w:rFonts w:ascii="Arial" w:eastAsia="Arial" w:hAnsi="Arial" w:cs="Arial"/>
          <w:bCs/>
          <w:sz w:val="20"/>
          <w:szCs w:val="20"/>
        </w:rPr>
        <w:t xml:space="preserve">En el extremo opuesto se sitúa </w:t>
      </w:r>
      <w:r w:rsidRPr="00A04546">
        <w:rPr>
          <w:rFonts w:ascii="Arial" w:eastAsia="Arial" w:hAnsi="Arial" w:cs="Arial"/>
          <w:b/>
          <w:sz w:val="20"/>
          <w:szCs w:val="20"/>
        </w:rPr>
        <w:t>Construcción e Inmobiliario</w:t>
      </w:r>
      <w:r w:rsidRPr="00A04546">
        <w:rPr>
          <w:rFonts w:ascii="Arial" w:eastAsia="Arial" w:hAnsi="Arial" w:cs="Arial"/>
          <w:bCs/>
          <w:sz w:val="20"/>
          <w:szCs w:val="20"/>
        </w:rPr>
        <w:t xml:space="preserve">, el único sector en el que la formación y las subidas salariales tienen el mismo peso como respuesta a la falta de talento: un 30% de las empresas apuesta por desarrollar las competencias de sus empleados y otro 30% por elevar las retribuciones. También </w:t>
      </w:r>
      <w:r w:rsidRPr="00A04546">
        <w:rPr>
          <w:rFonts w:ascii="Arial" w:eastAsia="Arial" w:hAnsi="Arial" w:cs="Arial"/>
          <w:b/>
          <w:sz w:val="20"/>
          <w:szCs w:val="20"/>
        </w:rPr>
        <w:t>Hostelería</w:t>
      </w:r>
      <w:r w:rsidRPr="00A04546">
        <w:rPr>
          <w:rFonts w:ascii="Arial" w:eastAsia="Arial" w:hAnsi="Arial" w:cs="Arial"/>
          <w:bCs/>
          <w:sz w:val="20"/>
          <w:szCs w:val="20"/>
        </w:rPr>
        <w:t xml:space="preserve"> presenta una mayor </w:t>
      </w:r>
      <w:r w:rsidR="00B15D07" w:rsidRPr="00A04546">
        <w:rPr>
          <w:rFonts w:ascii="Arial" w:eastAsia="Arial" w:hAnsi="Arial" w:cs="Arial"/>
          <w:bCs/>
          <w:sz w:val="20"/>
          <w:szCs w:val="20"/>
        </w:rPr>
        <w:t>apuesta</w:t>
      </w:r>
      <w:r w:rsidRPr="00A04546">
        <w:rPr>
          <w:rFonts w:ascii="Arial" w:eastAsia="Arial" w:hAnsi="Arial" w:cs="Arial"/>
          <w:bCs/>
          <w:sz w:val="20"/>
          <w:szCs w:val="20"/>
        </w:rPr>
        <w:t xml:space="preserve"> salarial que la media, ya que el 22% </w:t>
      </w:r>
      <w:r w:rsidRPr="00A04546">
        <w:rPr>
          <w:rFonts w:ascii="Arial" w:eastAsia="Arial" w:hAnsi="Arial" w:cs="Arial"/>
          <w:bCs/>
          <w:sz w:val="20"/>
          <w:szCs w:val="20"/>
        </w:rPr>
        <w:lastRenderedPageBreak/>
        <w:t xml:space="preserve">de las organizaciones afirma estar aumentando los salarios, aunque la formación </w:t>
      </w:r>
      <w:r w:rsidR="007B38F9" w:rsidRPr="00A04546">
        <w:rPr>
          <w:rFonts w:ascii="Arial" w:eastAsia="Arial" w:hAnsi="Arial" w:cs="Arial"/>
          <w:bCs/>
          <w:sz w:val="20"/>
          <w:szCs w:val="20"/>
        </w:rPr>
        <w:t>continua</w:t>
      </w:r>
      <w:r w:rsidRPr="00A04546">
        <w:rPr>
          <w:rFonts w:ascii="Arial" w:eastAsia="Arial" w:hAnsi="Arial" w:cs="Arial"/>
          <w:bCs/>
          <w:sz w:val="20"/>
          <w:szCs w:val="20"/>
        </w:rPr>
        <w:t xml:space="preserve"> siendo la opción más extendida (31%).</w:t>
      </w:r>
      <w:bookmarkStart w:id="7" w:name="_Hlk161068777"/>
      <w:bookmarkStart w:id="8" w:name="_Hlk90222956"/>
      <w:bookmarkStart w:id="9" w:name="_Hlk90207554"/>
      <w:bookmarkEnd w:id="3"/>
      <w:bookmarkEnd w:id="4"/>
      <w:bookmarkEnd w:id="5"/>
      <w:bookmarkEnd w:id="6"/>
    </w:p>
    <w:p w14:paraId="3995156C" w14:textId="77777777" w:rsidR="009B4BCF" w:rsidRPr="00191D7E" w:rsidRDefault="009B4BCF" w:rsidP="00DC55EB">
      <w:pPr>
        <w:jc w:val="both"/>
        <w:rPr>
          <w:rFonts w:ascii="Arial" w:hAnsi="Arial" w:cs="Arial"/>
          <w:b/>
          <w:bCs/>
          <w:sz w:val="16"/>
          <w:szCs w:val="16"/>
        </w:rPr>
      </w:pPr>
    </w:p>
    <w:p w14:paraId="515740E1" w14:textId="77777777" w:rsidR="00750181" w:rsidRPr="00191D7E" w:rsidRDefault="00750181" w:rsidP="00DC55EB">
      <w:pPr>
        <w:jc w:val="both"/>
        <w:rPr>
          <w:rFonts w:ascii="Arial" w:hAnsi="Arial" w:cs="Arial"/>
          <w:b/>
          <w:bCs/>
          <w:sz w:val="16"/>
          <w:szCs w:val="16"/>
        </w:rPr>
      </w:pPr>
    </w:p>
    <w:p w14:paraId="5238AAE2" w14:textId="77777777" w:rsidR="00C11876" w:rsidRPr="00191D7E" w:rsidRDefault="00C11876" w:rsidP="00C11876">
      <w:pPr>
        <w:tabs>
          <w:tab w:val="right" w:pos="8838"/>
        </w:tabs>
        <w:autoSpaceDE w:val="0"/>
        <w:autoSpaceDN w:val="0"/>
        <w:adjustRightInd w:val="0"/>
        <w:jc w:val="both"/>
        <w:rPr>
          <w:rFonts w:ascii="Arial" w:hAnsi="Arial" w:cs="Arial"/>
          <w:b/>
          <w:bCs/>
          <w:sz w:val="16"/>
          <w:szCs w:val="16"/>
        </w:rPr>
      </w:pPr>
      <w:r w:rsidRPr="00191D7E">
        <w:rPr>
          <w:rFonts w:ascii="Arial" w:hAnsi="Arial" w:cs="Arial"/>
          <w:b/>
          <w:bCs/>
          <w:sz w:val="16"/>
          <w:szCs w:val="16"/>
        </w:rPr>
        <w:t>ManpowerGroup</w:t>
      </w:r>
    </w:p>
    <w:p w14:paraId="63008374" w14:textId="77777777" w:rsidR="00C11876" w:rsidRPr="00191D7E" w:rsidRDefault="00C11876" w:rsidP="00C11876">
      <w:pPr>
        <w:tabs>
          <w:tab w:val="right" w:pos="8838"/>
        </w:tabs>
        <w:autoSpaceDE w:val="0"/>
        <w:autoSpaceDN w:val="0"/>
        <w:adjustRightInd w:val="0"/>
        <w:jc w:val="both"/>
        <w:rPr>
          <w:rFonts w:ascii="Arial" w:hAnsi="Arial" w:cs="Arial"/>
          <w:sz w:val="16"/>
          <w:szCs w:val="16"/>
        </w:rPr>
      </w:pPr>
      <w:r w:rsidRPr="00191D7E">
        <w:rPr>
          <w:rFonts w:ascii="Arial" w:hAnsi="Arial" w:cs="Arial"/>
          <w:sz w:val="16"/>
          <w:szCs w:val="16"/>
        </w:rPr>
        <w:t>ManpowerGroup es la compañía líder mundial en soluciones de talento y tecnología. Ayuda a las organizaciones a adaptarse a un mercado del empleo en constante cambio, seleccionando, evaluando, desarrollando y gestionando el talento que necesitan para lograr sus objetivos de negocio. Apoyándose en las últimas herramientas tecnológicas, crea estrategias innovadoras para cientos de miles de empresas cada año, permitiéndoles contar con los profesionales cualificados que necesitan, al mismo tiempo que ofrece un empleo digno y sostenible a millones de personas. A través de sus distintas marcas (Manpower, Experis y Talent Solutions), aporta valor a candidatos y clientes en más de 75 países, como lleva haciendo durante más de 75 años. Además, sus políticas de diversidad, inclusión e igualdad y sus buenas prácticas de negocio son reconocidas por multitud de organizaciones.</w:t>
      </w:r>
    </w:p>
    <w:p w14:paraId="25BFF3CD" w14:textId="77777777" w:rsidR="00C11876" w:rsidRPr="00191D7E" w:rsidRDefault="00C11876" w:rsidP="00C11876">
      <w:pPr>
        <w:tabs>
          <w:tab w:val="right" w:pos="8838"/>
        </w:tabs>
        <w:autoSpaceDE w:val="0"/>
        <w:autoSpaceDN w:val="0"/>
        <w:adjustRightInd w:val="0"/>
        <w:jc w:val="both"/>
        <w:rPr>
          <w:rFonts w:ascii="Arial" w:hAnsi="Arial" w:cs="Arial"/>
          <w:sz w:val="16"/>
          <w:szCs w:val="16"/>
        </w:rPr>
      </w:pPr>
      <w:r w:rsidRPr="00191D7E">
        <w:rPr>
          <w:rFonts w:ascii="Arial" w:hAnsi="Arial" w:cs="Arial"/>
          <w:sz w:val="16"/>
          <w:szCs w:val="16"/>
        </w:rPr>
        <w:t xml:space="preserve">Más información en </w:t>
      </w:r>
      <w:hyperlink r:id="rId9" w:history="1">
        <w:r w:rsidRPr="00191D7E">
          <w:rPr>
            <w:rStyle w:val="Hipervnculo"/>
            <w:rFonts w:ascii="Arial" w:hAnsi="Arial" w:cs="Arial"/>
            <w:sz w:val="16"/>
            <w:szCs w:val="16"/>
          </w:rPr>
          <w:t>www.manpowergroup.es</w:t>
        </w:r>
      </w:hyperlink>
      <w:r w:rsidRPr="00191D7E">
        <w:rPr>
          <w:rFonts w:ascii="Arial" w:hAnsi="Arial" w:cs="Arial"/>
          <w:sz w:val="16"/>
          <w:szCs w:val="16"/>
        </w:rPr>
        <w:t>.</w:t>
      </w:r>
    </w:p>
    <w:p w14:paraId="4A498259" w14:textId="1B60E822" w:rsidR="00493CFD" w:rsidRPr="00191D7E" w:rsidRDefault="00493CFD" w:rsidP="00DC55EB">
      <w:pPr>
        <w:tabs>
          <w:tab w:val="right" w:pos="8838"/>
        </w:tabs>
        <w:autoSpaceDE w:val="0"/>
        <w:autoSpaceDN w:val="0"/>
        <w:adjustRightInd w:val="0"/>
        <w:jc w:val="both"/>
        <w:rPr>
          <w:rFonts w:ascii="Arial" w:hAnsi="Arial" w:cs="Arial"/>
          <w:sz w:val="16"/>
          <w:szCs w:val="16"/>
        </w:rPr>
      </w:pPr>
    </w:p>
    <w:p w14:paraId="6FB62582" w14:textId="39C9DF2B" w:rsidR="00750181" w:rsidRPr="00191D7E" w:rsidRDefault="00750181" w:rsidP="00DC55EB">
      <w:pPr>
        <w:tabs>
          <w:tab w:val="right" w:pos="8838"/>
        </w:tabs>
        <w:autoSpaceDE w:val="0"/>
        <w:autoSpaceDN w:val="0"/>
        <w:adjustRightInd w:val="0"/>
        <w:jc w:val="both"/>
        <w:rPr>
          <w:rFonts w:ascii="Arial" w:hAnsi="Arial" w:cs="Arial"/>
          <w:sz w:val="16"/>
          <w:szCs w:val="16"/>
        </w:rPr>
      </w:pPr>
    </w:p>
    <w:p w14:paraId="108340AD" w14:textId="77777777" w:rsidR="00750181" w:rsidRPr="00191D7E" w:rsidRDefault="00750181" w:rsidP="00DC55EB">
      <w:pPr>
        <w:tabs>
          <w:tab w:val="right" w:pos="8838"/>
        </w:tabs>
        <w:autoSpaceDE w:val="0"/>
        <w:autoSpaceDN w:val="0"/>
        <w:adjustRightInd w:val="0"/>
        <w:jc w:val="both"/>
        <w:rPr>
          <w:rFonts w:ascii="Arial" w:hAnsi="Arial" w:cs="Arial"/>
          <w:sz w:val="16"/>
          <w:szCs w:val="16"/>
        </w:rPr>
      </w:pPr>
    </w:p>
    <w:bookmarkEnd w:id="7"/>
    <w:bookmarkEnd w:id="8"/>
    <w:bookmarkEnd w:id="9"/>
    <w:p w14:paraId="26B230C1" w14:textId="77777777" w:rsidR="00761D60" w:rsidRPr="00191D7E" w:rsidRDefault="00761D60" w:rsidP="00761D60">
      <w:pPr>
        <w:tabs>
          <w:tab w:val="right" w:pos="8838"/>
        </w:tabs>
        <w:autoSpaceDE w:val="0"/>
        <w:autoSpaceDN w:val="0"/>
        <w:adjustRightInd w:val="0"/>
        <w:jc w:val="both"/>
        <w:rPr>
          <w:rFonts w:ascii="Arial" w:hAnsi="Arial" w:cs="Arial"/>
          <w:b/>
          <w:bCs/>
          <w:sz w:val="16"/>
          <w:szCs w:val="16"/>
        </w:rPr>
      </w:pPr>
      <w:r w:rsidRPr="00191D7E">
        <w:rPr>
          <w:rFonts w:ascii="Arial" w:hAnsi="Arial" w:cs="Arial"/>
          <w:b/>
          <w:bCs/>
          <w:sz w:val="16"/>
          <w:szCs w:val="16"/>
        </w:rPr>
        <w:t>Para más información:</w:t>
      </w:r>
    </w:p>
    <w:tbl>
      <w:tblPr>
        <w:tblW w:w="8948" w:type="dxa"/>
        <w:tblLayout w:type="fixed"/>
        <w:tblLook w:val="04A0" w:firstRow="1" w:lastRow="0" w:firstColumn="1" w:lastColumn="0" w:noHBand="0" w:noVBand="1"/>
      </w:tblPr>
      <w:tblGrid>
        <w:gridCol w:w="3686"/>
        <w:gridCol w:w="2234"/>
        <w:gridCol w:w="3028"/>
      </w:tblGrid>
      <w:tr w:rsidR="00761D60" w:rsidRPr="00191D7E" w14:paraId="6DE41C35" w14:textId="77777777" w:rsidTr="00030508">
        <w:trPr>
          <w:trHeight w:val="1159"/>
        </w:trPr>
        <w:tc>
          <w:tcPr>
            <w:tcW w:w="3686" w:type="dxa"/>
            <w:hideMark/>
          </w:tcPr>
          <w:p w14:paraId="1D05332F" w14:textId="719F0AB6" w:rsidR="00761D60" w:rsidRPr="00191D7E" w:rsidRDefault="00761D60" w:rsidP="00721B40">
            <w:pPr>
              <w:pStyle w:val="NormalWeb"/>
              <w:spacing w:before="0" w:beforeAutospacing="0" w:after="0" w:afterAutospacing="0"/>
              <w:jc w:val="both"/>
              <w:rPr>
                <w:rStyle w:val="Hipervnculo"/>
                <w:rFonts w:ascii="Arial" w:eastAsia="MS Mincho" w:hAnsi="Arial" w:cs="Arial"/>
                <w:sz w:val="16"/>
                <w:szCs w:val="16"/>
              </w:rPr>
            </w:pPr>
            <w:bookmarkStart w:id="10" w:name="_Hlk90207537"/>
            <w:r w:rsidRPr="00191D7E">
              <w:rPr>
                <w:rFonts w:ascii="Arial" w:hAnsi="Arial" w:cs="Arial"/>
                <w:color w:val="000000"/>
                <w:sz w:val="16"/>
                <w:szCs w:val="16"/>
                <w:u w:val="single"/>
              </w:rPr>
              <w:t xml:space="preserve">Agencia de comunicación </w:t>
            </w:r>
            <w:r w:rsidR="00030508" w:rsidRPr="00191D7E">
              <w:rPr>
                <w:rFonts w:ascii="Arial" w:hAnsi="Arial" w:cs="Arial"/>
                <w:color w:val="000000"/>
                <w:sz w:val="16"/>
                <w:szCs w:val="16"/>
                <w:u w:val="single"/>
              </w:rPr>
              <w:t>Havas PR</w:t>
            </w:r>
          </w:p>
          <w:p w14:paraId="0C9FBF80" w14:textId="573D0904" w:rsidR="00761D60" w:rsidRPr="00191D7E" w:rsidRDefault="00533EC8" w:rsidP="00721B40">
            <w:pPr>
              <w:pStyle w:val="NormalWeb"/>
              <w:spacing w:before="0" w:beforeAutospacing="0" w:after="0" w:afterAutospacing="0"/>
              <w:rPr>
                <w:rFonts w:ascii="Arial" w:hAnsi="Arial" w:cs="Arial"/>
                <w:color w:val="000000"/>
                <w:sz w:val="16"/>
                <w:szCs w:val="16"/>
              </w:rPr>
            </w:pPr>
            <w:hyperlink r:id="rId10" w:history="1">
              <w:r w:rsidRPr="00191D7E">
                <w:rPr>
                  <w:rStyle w:val="Hipervnculo"/>
                  <w:rFonts w:ascii="Arial" w:hAnsi="Arial" w:cs="Arial"/>
                  <w:sz w:val="16"/>
                  <w:szCs w:val="16"/>
                </w:rPr>
                <w:t>comunicacion.manpowergroup@havas.com</w:t>
              </w:r>
            </w:hyperlink>
            <w:r w:rsidR="00030508" w:rsidRPr="00191D7E">
              <w:rPr>
                <w:rFonts w:ascii="Arial" w:hAnsi="Arial" w:cs="Arial"/>
                <w:color w:val="000000"/>
                <w:sz w:val="16"/>
                <w:szCs w:val="16"/>
              </w:rPr>
              <w:t xml:space="preserve"> </w:t>
            </w:r>
          </w:p>
          <w:p w14:paraId="0BBFE845" w14:textId="7D6AE060" w:rsidR="00761D60" w:rsidRPr="00191D7E" w:rsidRDefault="00761D60" w:rsidP="00721B40">
            <w:pPr>
              <w:jc w:val="both"/>
              <w:outlineLvl w:val="0"/>
              <w:rPr>
                <w:rFonts w:ascii="Arial" w:hAnsi="Arial" w:cs="Arial"/>
                <w:b/>
                <w:sz w:val="16"/>
                <w:szCs w:val="16"/>
                <w:lang w:val="ca-ES"/>
              </w:rPr>
            </w:pPr>
          </w:p>
        </w:tc>
        <w:tc>
          <w:tcPr>
            <w:tcW w:w="2234" w:type="dxa"/>
          </w:tcPr>
          <w:p w14:paraId="5C3E5C6E" w14:textId="77777777" w:rsidR="00761D60" w:rsidRPr="00191D7E" w:rsidRDefault="00761D60" w:rsidP="00721B40">
            <w:pPr>
              <w:jc w:val="both"/>
              <w:rPr>
                <w:rFonts w:ascii="Arial" w:hAnsi="Arial" w:cs="Arial"/>
                <w:sz w:val="16"/>
                <w:szCs w:val="16"/>
                <w:lang w:val="ca-ES"/>
              </w:rPr>
            </w:pPr>
          </w:p>
        </w:tc>
        <w:tc>
          <w:tcPr>
            <w:tcW w:w="3028" w:type="dxa"/>
          </w:tcPr>
          <w:p w14:paraId="5F6CDF18" w14:textId="77777777" w:rsidR="00761D60" w:rsidRPr="00191D7E" w:rsidRDefault="00761D60" w:rsidP="00721B40">
            <w:pPr>
              <w:jc w:val="both"/>
              <w:outlineLvl w:val="0"/>
              <w:rPr>
                <w:rFonts w:ascii="Arial" w:hAnsi="Arial" w:cs="Arial"/>
                <w:b/>
                <w:sz w:val="16"/>
                <w:szCs w:val="16"/>
              </w:rPr>
            </w:pPr>
            <w:r w:rsidRPr="00191D7E">
              <w:rPr>
                <w:rFonts w:ascii="Arial" w:hAnsi="Arial" w:cs="Arial"/>
                <w:b/>
                <w:sz w:val="16"/>
                <w:szCs w:val="16"/>
              </w:rPr>
              <w:t>ManpowerGroup</w:t>
            </w:r>
          </w:p>
          <w:p w14:paraId="6EB79493" w14:textId="77777777" w:rsidR="00761D60" w:rsidRPr="00191D7E" w:rsidRDefault="00761D60" w:rsidP="00721B40">
            <w:pPr>
              <w:jc w:val="both"/>
              <w:outlineLvl w:val="0"/>
              <w:rPr>
                <w:rFonts w:ascii="Arial" w:hAnsi="Arial" w:cs="Arial"/>
                <w:sz w:val="16"/>
                <w:szCs w:val="16"/>
              </w:rPr>
            </w:pPr>
            <w:r w:rsidRPr="00191D7E">
              <w:rPr>
                <w:rFonts w:ascii="Arial" w:hAnsi="Arial" w:cs="Arial"/>
                <w:sz w:val="16"/>
                <w:szCs w:val="16"/>
              </w:rPr>
              <w:t>Dpto. Comunicación</w:t>
            </w:r>
          </w:p>
          <w:p w14:paraId="68A38F2C" w14:textId="77777777" w:rsidR="000D00D5" w:rsidRPr="00191D7E" w:rsidRDefault="000D00D5" w:rsidP="000D00D5">
            <w:pPr>
              <w:jc w:val="both"/>
              <w:rPr>
                <w:rFonts w:ascii="Arial" w:hAnsi="Arial" w:cs="Arial"/>
                <w:sz w:val="16"/>
                <w:szCs w:val="16"/>
              </w:rPr>
            </w:pPr>
            <w:r w:rsidRPr="00191D7E">
              <w:rPr>
                <w:rFonts w:ascii="Arial" w:hAnsi="Arial" w:cs="Arial"/>
                <w:sz w:val="16"/>
                <w:szCs w:val="16"/>
              </w:rPr>
              <w:t xml:space="preserve">Gala Díaz Curiel </w:t>
            </w:r>
          </w:p>
          <w:p w14:paraId="65B87DC6" w14:textId="77777777" w:rsidR="000D00D5" w:rsidRPr="00191D7E" w:rsidRDefault="000D00D5" w:rsidP="000D00D5">
            <w:pPr>
              <w:jc w:val="both"/>
              <w:rPr>
                <w:rFonts w:ascii="Arial" w:hAnsi="Arial" w:cs="Arial"/>
                <w:sz w:val="16"/>
                <w:szCs w:val="16"/>
              </w:rPr>
            </w:pPr>
            <w:r w:rsidRPr="00191D7E">
              <w:rPr>
                <w:rFonts w:ascii="Arial" w:hAnsi="Arial" w:cs="Arial"/>
                <w:sz w:val="16"/>
                <w:szCs w:val="16"/>
              </w:rPr>
              <w:t>607 35 33 49</w:t>
            </w:r>
          </w:p>
          <w:p w14:paraId="71BE04B8" w14:textId="77777777" w:rsidR="000D00D5" w:rsidRPr="00191D7E" w:rsidRDefault="000D00D5" w:rsidP="000D00D5">
            <w:pPr>
              <w:jc w:val="both"/>
              <w:rPr>
                <w:rFonts w:ascii="Arial" w:hAnsi="Arial" w:cs="Arial"/>
                <w:sz w:val="16"/>
                <w:szCs w:val="16"/>
                <w:u w:val="single"/>
              </w:rPr>
            </w:pPr>
            <w:hyperlink r:id="rId11" w:history="1">
              <w:r w:rsidRPr="00191D7E">
                <w:rPr>
                  <w:rStyle w:val="Hipervnculo"/>
                  <w:rFonts w:ascii="Arial" w:hAnsi="Arial" w:cs="Arial"/>
                  <w:sz w:val="16"/>
                  <w:szCs w:val="16"/>
                </w:rPr>
                <w:t>gala.diaz@manpowergroup.es</w:t>
              </w:r>
            </w:hyperlink>
          </w:p>
          <w:p w14:paraId="2BFA7ACC" w14:textId="77777777" w:rsidR="000D00D5" w:rsidRPr="00191D7E" w:rsidRDefault="000D00D5" w:rsidP="00721B40">
            <w:pPr>
              <w:jc w:val="both"/>
              <w:rPr>
                <w:rFonts w:ascii="Arial" w:hAnsi="Arial" w:cs="Arial"/>
                <w:sz w:val="16"/>
                <w:szCs w:val="16"/>
              </w:rPr>
            </w:pPr>
          </w:p>
          <w:p w14:paraId="13CBCB15" w14:textId="04362372" w:rsidR="00761D60" w:rsidRPr="00191D7E" w:rsidRDefault="00761D60" w:rsidP="00721B40">
            <w:pPr>
              <w:jc w:val="both"/>
              <w:rPr>
                <w:rFonts w:ascii="Arial" w:hAnsi="Arial" w:cs="Arial"/>
                <w:sz w:val="16"/>
                <w:szCs w:val="16"/>
              </w:rPr>
            </w:pPr>
            <w:r w:rsidRPr="00191D7E">
              <w:rPr>
                <w:rFonts w:ascii="Arial" w:hAnsi="Arial" w:cs="Arial"/>
                <w:sz w:val="16"/>
                <w:szCs w:val="16"/>
              </w:rPr>
              <w:t>Juan Gómez Rodríguez</w:t>
            </w:r>
          </w:p>
          <w:p w14:paraId="0C3AABE4" w14:textId="77777777" w:rsidR="00761D60" w:rsidRPr="00191D7E" w:rsidRDefault="00761D60" w:rsidP="00721B40">
            <w:pPr>
              <w:jc w:val="both"/>
              <w:rPr>
                <w:rFonts w:ascii="Arial" w:hAnsi="Arial" w:cs="Arial"/>
                <w:sz w:val="16"/>
                <w:szCs w:val="16"/>
                <w:lang w:val="de-DE"/>
              </w:rPr>
            </w:pPr>
            <w:r w:rsidRPr="00191D7E">
              <w:rPr>
                <w:rFonts w:ascii="Arial" w:hAnsi="Arial" w:cs="Arial"/>
                <w:sz w:val="16"/>
                <w:szCs w:val="16"/>
                <w:lang w:val="de-DE"/>
              </w:rPr>
              <w:t>Tel. 687 51 96 90</w:t>
            </w:r>
          </w:p>
          <w:p w14:paraId="41E0F357" w14:textId="77777777" w:rsidR="00761D60" w:rsidRPr="00191D7E" w:rsidRDefault="00761D60" w:rsidP="00721B40">
            <w:pPr>
              <w:jc w:val="both"/>
              <w:rPr>
                <w:rFonts w:ascii="Arial" w:hAnsi="Arial" w:cs="Arial"/>
                <w:sz w:val="16"/>
                <w:szCs w:val="16"/>
                <w:lang w:val="de-DE"/>
              </w:rPr>
            </w:pPr>
            <w:hyperlink r:id="rId12" w:history="1">
              <w:r w:rsidRPr="00191D7E">
                <w:rPr>
                  <w:rStyle w:val="Hipervnculo"/>
                  <w:rFonts w:ascii="Arial" w:hAnsi="Arial" w:cs="Arial"/>
                  <w:sz w:val="16"/>
                  <w:szCs w:val="16"/>
                  <w:lang w:val="de-DE"/>
                </w:rPr>
                <w:t>juan.gomez@manpowergroup.es</w:t>
              </w:r>
            </w:hyperlink>
          </w:p>
        </w:tc>
      </w:tr>
      <w:bookmarkEnd w:id="10"/>
    </w:tbl>
    <w:p w14:paraId="0F55B214" w14:textId="77777777" w:rsidR="008E54AD" w:rsidRPr="00191D7E" w:rsidRDefault="008E54AD" w:rsidP="00090345">
      <w:pPr>
        <w:tabs>
          <w:tab w:val="right" w:pos="8838"/>
        </w:tabs>
        <w:autoSpaceDE w:val="0"/>
        <w:autoSpaceDN w:val="0"/>
        <w:adjustRightInd w:val="0"/>
        <w:jc w:val="both"/>
        <w:rPr>
          <w:rFonts w:ascii="Arial" w:hAnsi="Arial" w:cs="Arial"/>
          <w:b/>
          <w:bCs/>
          <w:sz w:val="16"/>
          <w:szCs w:val="16"/>
          <w:lang w:val="de-DE"/>
        </w:rPr>
      </w:pPr>
    </w:p>
    <w:sectPr w:rsidR="008E54AD" w:rsidRPr="00191D7E" w:rsidSect="006A2051">
      <w:headerReference w:type="default" r:id="rId13"/>
      <w:footerReference w:type="even" r:id="rId14"/>
      <w:footerReference w:type="default" r:id="rId15"/>
      <w:pgSz w:w="11907" w:h="16840" w:code="9"/>
      <w:pgMar w:top="1985" w:right="1418" w:bottom="1701" w:left="1418"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82BD9" w14:textId="77777777" w:rsidR="00B42FE8" w:rsidRDefault="00B42FE8">
      <w:r>
        <w:separator/>
      </w:r>
    </w:p>
  </w:endnote>
  <w:endnote w:type="continuationSeparator" w:id="0">
    <w:p w14:paraId="115C7AD7" w14:textId="77777777" w:rsidR="00B42FE8" w:rsidRDefault="00B4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012" w14:textId="0A177C38" w:rsidR="00FB1381" w:rsidRDefault="00346E05" w:rsidP="00F01B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5B32">
      <w:rPr>
        <w:rStyle w:val="Nmerodepgina"/>
        <w:noProof/>
      </w:rPr>
      <w:t>2</w:t>
    </w:r>
    <w:r>
      <w:rPr>
        <w:rStyle w:val="Nmerodepgina"/>
      </w:rPr>
      <w:fldChar w:fldCharType="end"/>
    </w:r>
  </w:p>
  <w:p w14:paraId="15552DA8" w14:textId="77777777" w:rsidR="00FB1381" w:rsidRDefault="00FB1381" w:rsidP="003E26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A3F9" w14:textId="77777777" w:rsidR="006A2051" w:rsidRDefault="006A2051" w:rsidP="006A2051">
    <w:pPr>
      <w:pStyle w:val="Piedepgina"/>
      <w:ind w:right="360"/>
    </w:pPr>
  </w:p>
  <w:p w14:paraId="23873518" w14:textId="1FDA2006" w:rsidR="00FB1381" w:rsidRDefault="006A2051" w:rsidP="006A2051">
    <w:pPr>
      <w:pStyle w:val="Piedepgina"/>
      <w:jc w:val="center"/>
    </w:pPr>
    <w:bookmarkStart w:id="15" w:name="_Hlk198035490"/>
    <w:bookmarkStart w:id="16" w:name="_Hlk198035491"/>
    <w:bookmarkStart w:id="17" w:name="_Hlk216197226"/>
    <w:bookmarkStart w:id="18" w:name="_Hlk216197227"/>
    <w:bookmarkStart w:id="19" w:name="_Hlk216197230"/>
    <w:bookmarkStart w:id="20" w:name="_Hlk216197231"/>
    <w:r>
      <w:rPr>
        <w:noProof/>
      </w:rPr>
      <w:drawing>
        <wp:inline distT="0" distB="0" distL="0" distR="0" wp14:anchorId="34E708A4" wp14:editId="1E433E57">
          <wp:extent cx="4493260" cy="734455"/>
          <wp:effectExtent l="0" t="0" r="2540" b="0"/>
          <wp:docPr id="204055499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54999" name="Imagen 1" descr="Interfaz de usuario gráfica,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4186" cy="736241"/>
                  </a:xfrm>
                  <a:prstGeom prst="rect">
                    <a:avLst/>
                  </a:prstGeom>
                  <a:noFill/>
                </pic:spPr>
              </pic:pic>
            </a:graphicData>
          </a:graphic>
        </wp:inline>
      </w:drawing>
    </w:r>
    <w:bookmarkEnd w:id="15"/>
    <w:bookmarkEnd w:id="16"/>
    <w:bookmarkEnd w:id="17"/>
    <w:bookmarkEnd w:id="18"/>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A7BA" w14:textId="77777777" w:rsidR="00B42FE8" w:rsidRDefault="00B42FE8">
      <w:r>
        <w:separator/>
      </w:r>
    </w:p>
  </w:footnote>
  <w:footnote w:type="continuationSeparator" w:id="0">
    <w:p w14:paraId="265054D4" w14:textId="77777777" w:rsidR="00B42FE8" w:rsidRDefault="00B42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68A9" w14:textId="12BA7019" w:rsidR="006A2051" w:rsidRDefault="006A2051" w:rsidP="00F34829">
    <w:pPr>
      <w:pStyle w:val="Encabezado"/>
      <w:rPr>
        <w:rFonts w:ascii="Verdana" w:hAnsi="Verdana"/>
        <w:noProof/>
        <w:color w:val="616161"/>
        <w:sz w:val="14"/>
        <w:szCs w:val="14"/>
      </w:rPr>
    </w:pPr>
    <w:bookmarkStart w:id="11" w:name="_Hlk216197163"/>
    <w:bookmarkStart w:id="12" w:name="_Hlk216197164"/>
    <w:bookmarkStart w:id="13" w:name="_Hlk216197174"/>
    <w:bookmarkStart w:id="14" w:name="_Hlk216197175"/>
    <w:r>
      <w:rPr>
        <w:noProof/>
      </w:rPr>
      <w:drawing>
        <wp:anchor distT="0" distB="0" distL="114300" distR="114300" simplePos="0" relativeHeight="251659264" behindDoc="0" locked="0" layoutInCell="1" allowOverlap="1" wp14:anchorId="311DCD64" wp14:editId="32674B57">
          <wp:simplePos x="0" y="0"/>
          <wp:positionH relativeFrom="margin">
            <wp:align>right</wp:align>
          </wp:positionH>
          <wp:positionV relativeFrom="paragraph">
            <wp:posOffset>3810</wp:posOffset>
          </wp:positionV>
          <wp:extent cx="1234440" cy="666750"/>
          <wp:effectExtent l="0" t="0" r="3810" b="0"/>
          <wp:wrapSquare wrapText="bothSides"/>
          <wp:docPr id="3" name="Imagen 3" descr="inc_standard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c_standard_stacked_rgb"/>
                  <pic:cNvPicPr>
                    <a:picLocks noChangeAspect="1" noChangeArrowheads="1"/>
                  </pic:cNvPicPr>
                </pic:nvPicPr>
                <pic:blipFill>
                  <a:blip r:embed="rId1"/>
                  <a:srcRect/>
                  <a:stretch>
                    <a:fillRect/>
                  </a:stretch>
                </pic:blipFill>
                <pic:spPr bwMode="auto">
                  <a:xfrm>
                    <a:off x="0" y="0"/>
                    <a:ext cx="1234440" cy="666750"/>
                  </a:xfrm>
                  <a:prstGeom prst="rect">
                    <a:avLst/>
                  </a:prstGeom>
                  <a:noFill/>
                </pic:spPr>
              </pic:pic>
            </a:graphicData>
          </a:graphic>
        </wp:anchor>
      </w:drawing>
    </w:r>
    <w:r w:rsidR="009C6E19" w:rsidRPr="009C6E19">
      <w:rPr>
        <w:rFonts w:ascii="Verdana" w:hAnsi="Verdana"/>
        <w:noProof/>
        <w:color w:val="616161"/>
        <w:sz w:val="14"/>
        <w:szCs w:val="14"/>
      </w:rPr>
      <w:drawing>
        <wp:inline distT="0" distB="0" distL="0" distR="0" wp14:anchorId="111AF847" wp14:editId="46A165F5">
          <wp:extent cx="1276350" cy="645024"/>
          <wp:effectExtent l="0" t="0" r="0" b="0"/>
          <wp:docPr id="9" name="Imagen 8" descr="Imagen que contiene interior, computer, computadora, tabla&#10;&#10;El contenido generado por IA puede ser incorrecto.">
            <a:extLst xmlns:a="http://schemas.openxmlformats.org/drawingml/2006/main">
              <a:ext uri="{FF2B5EF4-FFF2-40B4-BE49-F238E27FC236}">
                <a16:creationId xmlns:a16="http://schemas.microsoft.com/office/drawing/2014/main" id="{C519F803-7F59-48E3-ADDB-CB9C21B32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interior, computer, computadora, tabla&#10;&#10;El contenido generado por IA puede ser incorrecto.">
                    <a:extLst>
                      <a:ext uri="{FF2B5EF4-FFF2-40B4-BE49-F238E27FC236}">
                        <a16:creationId xmlns:a16="http://schemas.microsoft.com/office/drawing/2014/main" id="{C519F803-7F59-48E3-ADDB-CB9C21B3289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284794" cy="649291"/>
                  </a:xfrm>
                  <a:prstGeom prst="rect">
                    <a:avLst/>
                  </a:prstGeom>
                </pic:spPr>
              </pic:pic>
            </a:graphicData>
          </a:graphic>
        </wp:inline>
      </w:drawing>
    </w:r>
  </w:p>
  <w:p w14:paraId="609D24D9" w14:textId="77777777" w:rsidR="006A2051" w:rsidRDefault="006A2051" w:rsidP="00F34829">
    <w:pPr>
      <w:pStyle w:val="Encabezado"/>
      <w:rPr>
        <w:rFonts w:ascii="Verdana" w:hAnsi="Verdana"/>
        <w:noProof/>
        <w:color w:val="616161"/>
        <w:sz w:val="14"/>
        <w:szCs w:val="14"/>
      </w:rPr>
    </w:pPr>
  </w:p>
  <w:p w14:paraId="477BC6CD" w14:textId="77777777" w:rsidR="006A2051" w:rsidRDefault="006A2051" w:rsidP="00F34829">
    <w:pPr>
      <w:pStyle w:val="Encabezado"/>
      <w:rPr>
        <w:rFonts w:ascii="Verdana" w:hAnsi="Verdana"/>
        <w:noProof/>
        <w:color w:val="616161"/>
        <w:sz w:val="14"/>
        <w:szCs w:val="14"/>
      </w:rPr>
    </w:pPr>
  </w:p>
  <w:bookmarkEnd w:id="11"/>
  <w:bookmarkEnd w:id="12"/>
  <w:bookmarkEnd w:id="13"/>
  <w:bookmarkEnd w:id="14"/>
  <w:p w14:paraId="054F2965" w14:textId="1823066E" w:rsidR="00FB1381" w:rsidRDefault="00FB1381" w:rsidP="00F34829">
    <w:pPr>
      <w:pStyle w:val="Encabezado"/>
      <w:rPr>
        <w:rFonts w:ascii="Verdana" w:hAnsi="Verdana"/>
        <w:noProof/>
        <w:color w:val="616161"/>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53E"/>
    <w:multiLevelType w:val="hybridMultilevel"/>
    <w:tmpl w:val="E0FE1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F91C98"/>
    <w:multiLevelType w:val="hybridMultilevel"/>
    <w:tmpl w:val="54E662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5139DA"/>
    <w:multiLevelType w:val="multilevel"/>
    <w:tmpl w:val="1B66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E1CB6"/>
    <w:multiLevelType w:val="hybridMultilevel"/>
    <w:tmpl w:val="B380D3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D967AF"/>
    <w:multiLevelType w:val="hybridMultilevel"/>
    <w:tmpl w:val="0764FA5E"/>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673344"/>
    <w:multiLevelType w:val="hybridMultilevel"/>
    <w:tmpl w:val="D04E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16A21"/>
    <w:multiLevelType w:val="multilevel"/>
    <w:tmpl w:val="72C8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B16124"/>
    <w:multiLevelType w:val="hybridMultilevel"/>
    <w:tmpl w:val="EBE2B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325BE6"/>
    <w:multiLevelType w:val="hybridMultilevel"/>
    <w:tmpl w:val="FFFFFFFF"/>
    <w:lvl w:ilvl="0" w:tplc="942CD6F0">
      <w:start w:val="1"/>
      <w:numFmt w:val="bullet"/>
      <w:lvlText w:val=""/>
      <w:lvlJc w:val="left"/>
      <w:pPr>
        <w:ind w:left="1080" w:hanging="360"/>
      </w:pPr>
      <w:rPr>
        <w:rFonts w:ascii="Symbol" w:hAnsi="Symbol" w:hint="default"/>
      </w:rPr>
    </w:lvl>
    <w:lvl w:ilvl="1" w:tplc="342247BC">
      <w:start w:val="1"/>
      <w:numFmt w:val="bullet"/>
      <w:lvlText w:val="o"/>
      <w:lvlJc w:val="left"/>
      <w:pPr>
        <w:ind w:left="1800" w:hanging="360"/>
      </w:pPr>
      <w:rPr>
        <w:rFonts w:ascii="Courier New" w:hAnsi="Courier New" w:hint="default"/>
      </w:rPr>
    </w:lvl>
    <w:lvl w:ilvl="2" w:tplc="80328BA4">
      <w:start w:val="1"/>
      <w:numFmt w:val="bullet"/>
      <w:lvlText w:val=""/>
      <w:lvlJc w:val="left"/>
      <w:pPr>
        <w:ind w:left="2520" w:hanging="360"/>
      </w:pPr>
      <w:rPr>
        <w:rFonts w:ascii="Wingdings" w:hAnsi="Wingdings" w:hint="default"/>
      </w:rPr>
    </w:lvl>
    <w:lvl w:ilvl="3" w:tplc="A2BC7A2E">
      <w:start w:val="1"/>
      <w:numFmt w:val="bullet"/>
      <w:lvlText w:val=""/>
      <w:lvlJc w:val="left"/>
      <w:pPr>
        <w:ind w:left="3240" w:hanging="360"/>
      </w:pPr>
      <w:rPr>
        <w:rFonts w:ascii="Symbol" w:hAnsi="Symbol" w:hint="default"/>
      </w:rPr>
    </w:lvl>
    <w:lvl w:ilvl="4" w:tplc="BD5CFF32">
      <w:start w:val="1"/>
      <w:numFmt w:val="bullet"/>
      <w:lvlText w:val="o"/>
      <w:lvlJc w:val="left"/>
      <w:pPr>
        <w:ind w:left="3960" w:hanging="360"/>
      </w:pPr>
      <w:rPr>
        <w:rFonts w:ascii="Courier New" w:hAnsi="Courier New" w:hint="default"/>
      </w:rPr>
    </w:lvl>
    <w:lvl w:ilvl="5" w:tplc="DF8815AA">
      <w:start w:val="1"/>
      <w:numFmt w:val="bullet"/>
      <w:lvlText w:val=""/>
      <w:lvlJc w:val="left"/>
      <w:pPr>
        <w:ind w:left="4680" w:hanging="360"/>
      </w:pPr>
      <w:rPr>
        <w:rFonts w:ascii="Wingdings" w:hAnsi="Wingdings" w:hint="default"/>
      </w:rPr>
    </w:lvl>
    <w:lvl w:ilvl="6" w:tplc="9670EC9C">
      <w:start w:val="1"/>
      <w:numFmt w:val="bullet"/>
      <w:lvlText w:val=""/>
      <w:lvlJc w:val="left"/>
      <w:pPr>
        <w:ind w:left="5400" w:hanging="360"/>
      </w:pPr>
      <w:rPr>
        <w:rFonts w:ascii="Symbol" w:hAnsi="Symbol" w:hint="default"/>
      </w:rPr>
    </w:lvl>
    <w:lvl w:ilvl="7" w:tplc="E33AC33A">
      <w:start w:val="1"/>
      <w:numFmt w:val="bullet"/>
      <w:lvlText w:val="o"/>
      <w:lvlJc w:val="left"/>
      <w:pPr>
        <w:ind w:left="6120" w:hanging="360"/>
      </w:pPr>
      <w:rPr>
        <w:rFonts w:ascii="Courier New" w:hAnsi="Courier New" w:hint="default"/>
      </w:rPr>
    </w:lvl>
    <w:lvl w:ilvl="8" w:tplc="0602FD5C">
      <w:start w:val="1"/>
      <w:numFmt w:val="bullet"/>
      <w:lvlText w:val=""/>
      <w:lvlJc w:val="left"/>
      <w:pPr>
        <w:ind w:left="6840" w:hanging="360"/>
      </w:pPr>
      <w:rPr>
        <w:rFonts w:ascii="Wingdings" w:hAnsi="Wingdings" w:hint="default"/>
      </w:rPr>
    </w:lvl>
  </w:abstractNum>
  <w:abstractNum w:abstractNumId="9" w15:restartNumberingAfterBreak="0">
    <w:nsid w:val="5D8F0B1D"/>
    <w:multiLevelType w:val="multilevel"/>
    <w:tmpl w:val="32E4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C97E4C"/>
    <w:multiLevelType w:val="hybridMultilevel"/>
    <w:tmpl w:val="EDE8966A"/>
    <w:lvl w:ilvl="0" w:tplc="F4A4D594">
      <w:start w:val="1"/>
      <w:numFmt w:val="bullet"/>
      <w:lvlText w:val="•"/>
      <w:lvlJc w:val="left"/>
      <w:pPr>
        <w:tabs>
          <w:tab w:val="num" w:pos="720"/>
        </w:tabs>
        <w:ind w:left="720" w:hanging="360"/>
      </w:pPr>
      <w:rPr>
        <w:rFonts w:ascii="Arial" w:hAnsi="Arial" w:hint="default"/>
      </w:rPr>
    </w:lvl>
    <w:lvl w:ilvl="1" w:tplc="0D70D224" w:tentative="1">
      <w:start w:val="1"/>
      <w:numFmt w:val="bullet"/>
      <w:lvlText w:val="•"/>
      <w:lvlJc w:val="left"/>
      <w:pPr>
        <w:tabs>
          <w:tab w:val="num" w:pos="1440"/>
        </w:tabs>
        <w:ind w:left="1440" w:hanging="360"/>
      </w:pPr>
      <w:rPr>
        <w:rFonts w:ascii="Arial" w:hAnsi="Arial" w:hint="default"/>
      </w:rPr>
    </w:lvl>
    <w:lvl w:ilvl="2" w:tplc="6B6A35D2" w:tentative="1">
      <w:start w:val="1"/>
      <w:numFmt w:val="bullet"/>
      <w:lvlText w:val="•"/>
      <w:lvlJc w:val="left"/>
      <w:pPr>
        <w:tabs>
          <w:tab w:val="num" w:pos="2160"/>
        </w:tabs>
        <w:ind w:left="2160" w:hanging="360"/>
      </w:pPr>
      <w:rPr>
        <w:rFonts w:ascii="Arial" w:hAnsi="Arial" w:hint="default"/>
      </w:rPr>
    </w:lvl>
    <w:lvl w:ilvl="3" w:tplc="2BC0E038" w:tentative="1">
      <w:start w:val="1"/>
      <w:numFmt w:val="bullet"/>
      <w:lvlText w:val="•"/>
      <w:lvlJc w:val="left"/>
      <w:pPr>
        <w:tabs>
          <w:tab w:val="num" w:pos="2880"/>
        </w:tabs>
        <w:ind w:left="2880" w:hanging="360"/>
      </w:pPr>
      <w:rPr>
        <w:rFonts w:ascii="Arial" w:hAnsi="Arial" w:hint="default"/>
      </w:rPr>
    </w:lvl>
    <w:lvl w:ilvl="4" w:tplc="64E4E368" w:tentative="1">
      <w:start w:val="1"/>
      <w:numFmt w:val="bullet"/>
      <w:lvlText w:val="•"/>
      <w:lvlJc w:val="left"/>
      <w:pPr>
        <w:tabs>
          <w:tab w:val="num" w:pos="3600"/>
        </w:tabs>
        <w:ind w:left="3600" w:hanging="360"/>
      </w:pPr>
      <w:rPr>
        <w:rFonts w:ascii="Arial" w:hAnsi="Arial" w:hint="default"/>
      </w:rPr>
    </w:lvl>
    <w:lvl w:ilvl="5" w:tplc="901CFF92" w:tentative="1">
      <w:start w:val="1"/>
      <w:numFmt w:val="bullet"/>
      <w:lvlText w:val="•"/>
      <w:lvlJc w:val="left"/>
      <w:pPr>
        <w:tabs>
          <w:tab w:val="num" w:pos="4320"/>
        </w:tabs>
        <w:ind w:left="4320" w:hanging="360"/>
      </w:pPr>
      <w:rPr>
        <w:rFonts w:ascii="Arial" w:hAnsi="Arial" w:hint="default"/>
      </w:rPr>
    </w:lvl>
    <w:lvl w:ilvl="6" w:tplc="13F62D06" w:tentative="1">
      <w:start w:val="1"/>
      <w:numFmt w:val="bullet"/>
      <w:lvlText w:val="•"/>
      <w:lvlJc w:val="left"/>
      <w:pPr>
        <w:tabs>
          <w:tab w:val="num" w:pos="5040"/>
        </w:tabs>
        <w:ind w:left="5040" w:hanging="360"/>
      </w:pPr>
      <w:rPr>
        <w:rFonts w:ascii="Arial" w:hAnsi="Arial" w:hint="default"/>
      </w:rPr>
    </w:lvl>
    <w:lvl w:ilvl="7" w:tplc="B52E3C72" w:tentative="1">
      <w:start w:val="1"/>
      <w:numFmt w:val="bullet"/>
      <w:lvlText w:val="•"/>
      <w:lvlJc w:val="left"/>
      <w:pPr>
        <w:tabs>
          <w:tab w:val="num" w:pos="5760"/>
        </w:tabs>
        <w:ind w:left="5760" w:hanging="360"/>
      </w:pPr>
      <w:rPr>
        <w:rFonts w:ascii="Arial" w:hAnsi="Arial" w:hint="default"/>
      </w:rPr>
    </w:lvl>
    <w:lvl w:ilvl="8" w:tplc="6F9C139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B373D7B"/>
    <w:multiLevelType w:val="hybridMultilevel"/>
    <w:tmpl w:val="013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E77F56"/>
    <w:multiLevelType w:val="hybridMultilevel"/>
    <w:tmpl w:val="BDF04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28806777">
    <w:abstractNumId w:val="4"/>
  </w:num>
  <w:num w:numId="2" w16cid:durableId="1342783302">
    <w:abstractNumId w:val="8"/>
  </w:num>
  <w:num w:numId="3" w16cid:durableId="305208792">
    <w:abstractNumId w:val="7"/>
  </w:num>
  <w:num w:numId="4" w16cid:durableId="126244196">
    <w:abstractNumId w:val="5"/>
  </w:num>
  <w:num w:numId="5" w16cid:durableId="1245341768">
    <w:abstractNumId w:val="11"/>
  </w:num>
  <w:num w:numId="6" w16cid:durableId="597829097">
    <w:abstractNumId w:val="10"/>
  </w:num>
  <w:num w:numId="7" w16cid:durableId="2127692794">
    <w:abstractNumId w:val="2"/>
  </w:num>
  <w:num w:numId="8" w16cid:durableId="2060670331">
    <w:abstractNumId w:val="3"/>
  </w:num>
  <w:num w:numId="9" w16cid:durableId="1531917179">
    <w:abstractNumId w:val="9"/>
  </w:num>
  <w:num w:numId="10" w16cid:durableId="354423661">
    <w:abstractNumId w:val="6"/>
  </w:num>
  <w:num w:numId="11" w16cid:durableId="1518736495">
    <w:abstractNumId w:val="0"/>
  </w:num>
  <w:num w:numId="12" w16cid:durableId="1103233704">
    <w:abstractNumId w:val="1"/>
  </w:num>
  <w:num w:numId="13" w16cid:durableId="112866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76"/>
    <w:rsid w:val="00006233"/>
    <w:rsid w:val="000068C6"/>
    <w:rsid w:val="000074CA"/>
    <w:rsid w:val="000101F6"/>
    <w:rsid w:val="000122ED"/>
    <w:rsid w:val="0001254E"/>
    <w:rsid w:val="000166E0"/>
    <w:rsid w:val="00017815"/>
    <w:rsid w:val="000207C8"/>
    <w:rsid w:val="000258CF"/>
    <w:rsid w:val="00027080"/>
    <w:rsid w:val="00030253"/>
    <w:rsid w:val="00030508"/>
    <w:rsid w:val="000310B8"/>
    <w:rsid w:val="00032572"/>
    <w:rsid w:val="0003516C"/>
    <w:rsid w:val="0004003B"/>
    <w:rsid w:val="00042488"/>
    <w:rsid w:val="00043926"/>
    <w:rsid w:val="00047806"/>
    <w:rsid w:val="000507C4"/>
    <w:rsid w:val="00050A82"/>
    <w:rsid w:val="00063579"/>
    <w:rsid w:val="00064008"/>
    <w:rsid w:val="00066C14"/>
    <w:rsid w:val="00067DB8"/>
    <w:rsid w:val="000752A6"/>
    <w:rsid w:val="0008054F"/>
    <w:rsid w:val="000869A2"/>
    <w:rsid w:val="00090345"/>
    <w:rsid w:val="000915ED"/>
    <w:rsid w:val="00092740"/>
    <w:rsid w:val="00092CF0"/>
    <w:rsid w:val="00096272"/>
    <w:rsid w:val="00097055"/>
    <w:rsid w:val="000A0849"/>
    <w:rsid w:val="000A1973"/>
    <w:rsid w:val="000A1EBF"/>
    <w:rsid w:val="000A1F63"/>
    <w:rsid w:val="000A3669"/>
    <w:rsid w:val="000A5406"/>
    <w:rsid w:val="000A7606"/>
    <w:rsid w:val="000A78F6"/>
    <w:rsid w:val="000A7DFE"/>
    <w:rsid w:val="000B23A7"/>
    <w:rsid w:val="000C12D2"/>
    <w:rsid w:val="000C1F4F"/>
    <w:rsid w:val="000C326C"/>
    <w:rsid w:val="000C41F9"/>
    <w:rsid w:val="000D00D5"/>
    <w:rsid w:val="000D2B5A"/>
    <w:rsid w:val="000D573A"/>
    <w:rsid w:val="000D6AB6"/>
    <w:rsid w:val="000E191A"/>
    <w:rsid w:val="000E5074"/>
    <w:rsid w:val="000F11D7"/>
    <w:rsid w:val="000F269C"/>
    <w:rsid w:val="000F428E"/>
    <w:rsid w:val="000F4634"/>
    <w:rsid w:val="00103F84"/>
    <w:rsid w:val="00107002"/>
    <w:rsid w:val="0011607A"/>
    <w:rsid w:val="0012170F"/>
    <w:rsid w:val="00124DEA"/>
    <w:rsid w:val="00126F36"/>
    <w:rsid w:val="00131287"/>
    <w:rsid w:val="001319E5"/>
    <w:rsid w:val="001324E2"/>
    <w:rsid w:val="00132EA5"/>
    <w:rsid w:val="001411DF"/>
    <w:rsid w:val="00143E43"/>
    <w:rsid w:val="00143F63"/>
    <w:rsid w:val="001442A6"/>
    <w:rsid w:val="001463C1"/>
    <w:rsid w:val="00147F82"/>
    <w:rsid w:val="00151F63"/>
    <w:rsid w:val="00153505"/>
    <w:rsid w:val="00154F3A"/>
    <w:rsid w:val="0015531B"/>
    <w:rsid w:val="00156E14"/>
    <w:rsid w:val="00166FA8"/>
    <w:rsid w:val="00171AAA"/>
    <w:rsid w:val="001740C7"/>
    <w:rsid w:val="00175C72"/>
    <w:rsid w:val="00175E3F"/>
    <w:rsid w:val="001773CC"/>
    <w:rsid w:val="00177A71"/>
    <w:rsid w:val="00177CB8"/>
    <w:rsid w:val="00181155"/>
    <w:rsid w:val="00185038"/>
    <w:rsid w:val="00187625"/>
    <w:rsid w:val="00190E3D"/>
    <w:rsid w:val="00191D7E"/>
    <w:rsid w:val="0019492D"/>
    <w:rsid w:val="00195CAB"/>
    <w:rsid w:val="001A0832"/>
    <w:rsid w:val="001A2A76"/>
    <w:rsid w:val="001A332D"/>
    <w:rsid w:val="001A60DD"/>
    <w:rsid w:val="001A645B"/>
    <w:rsid w:val="001A645F"/>
    <w:rsid w:val="001B39AD"/>
    <w:rsid w:val="001C10B4"/>
    <w:rsid w:val="001C702D"/>
    <w:rsid w:val="001D5BD3"/>
    <w:rsid w:val="001E24E8"/>
    <w:rsid w:val="001E5440"/>
    <w:rsid w:val="001E6322"/>
    <w:rsid w:val="001E7292"/>
    <w:rsid w:val="001F0731"/>
    <w:rsid w:val="001F2672"/>
    <w:rsid w:val="001F3A45"/>
    <w:rsid w:val="001F3E41"/>
    <w:rsid w:val="001F5777"/>
    <w:rsid w:val="001F733B"/>
    <w:rsid w:val="001F7ADD"/>
    <w:rsid w:val="00204B99"/>
    <w:rsid w:val="00204E64"/>
    <w:rsid w:val="002059D2"/>
    <w:rsid w:val="00205D68"/>
    <w:rsid w:val="0021069A"/>
    <w:rsid w:val="00212129"/>
    <w:rsid w:val="002246BA"/>
    <w:rsid w:val="00224DE1"/>
    <w:rsid w:val="00231877"/>
    <w:rsid w:val="002331A8"/>
    <w:rsid w:val="00235658"/>
    <w:rsid w:val="0024317A"/>
    <w:rsid w:val="00252A0D"/>
    <w:rsid w:val="00261409"/>
    <w:rsid w:val="00264432"/>
    <w:rsid w:val="00264632"/>
    <w:rsid w:val="00271614"/>
    <w:rsid w:val="00274A5D"/>
    <w:rsid w:val="0027680B"/>
    <w:rsid w:val="00281944"/>
    <w:rsid w:val="00294475"/>
    <w:rsid w:val="002A1959"/>
    <w:rsid w:val="002A1C04"/>
    <w:rsid w:val="002A2DD5"/>
    <w:rsid w:val="002A3D92"/>
    <w:rsid w:val="002A521E"/>
    <w:rsid w:val="002A5832"/>
    <w:rsid w:val="002A78A1"/>
    <w:rsid w:val="002B3F52"/>
    <w:rsid w:val="002C01E7"/>
    <w:rsid w:val="002C02D9"/>
    <w:rsid w:val="002D032D"/>
    <w:rsid w:val="002E1864"/>
    <w:rsid w:val="002E285C"/>
    <w:rsid w:val="002E2F04"/>
    <w:rsid w:val="002E4A5C"/>
    <w:rsid w:val="002E5E6F"/>
    <w:rsid w:val="002F2E0A"/>
    <w:rsid w:val="002F4816"/>
    <w:rsid w:val="003006FC"/>
    <w:rsid w:val="003019C9"/>
    <w:rsid w:val="003108C5"/>
    <w:rsid w:val="00310DC4"/>
    <w:rsid w:val="0031490C"/>
    <w:rsid w:val="00321F4F"/>
    <w:rsid w:val="0032424C"/>
    <w:rsid w:val="00326089"/>
    <w:rsid w:val="00326125"/>
    <w:rsid w:val="00326FC2"/>
    <w:rsid w:val="00331310"/>
    <w:rsid w:val="00332D02"/>
    <w:rsid w:val="00336187"/>
    <w:rsid w:val="00337FD2"/>
    <w:rsid w:val="003428BD"/>
    <w:rsid w:val="00344595"/>
    <w:rsid w:val="00346E05"/>
    <w:rsid w:val="003470C8"/>
    <w:rsid w:val="003509A5"/>
    <w:rsid w:val="0035361B"/>
    <w:rsid w:val="003556A3"/>
    <w:rsid w:val="0036538C"/>
    <w:rsid w:val="003657F6"/>
    <w:rsid w:val="00380B8C"/>
    <w:rsid w:val="003837E6"/>
    <w:rsid w:val="00383F58"/>
    <w:rsid w:val="00390D3C"/>
    <w:rsid w:val="003933D5"/>
    <w:rsid w:val="003A214F"/>
    <w:rsid w:val="003A27B7"/>
    <w:rsid w:val="003A2B29"/>
    <w:rsid w:val="003A49AD"/>
    <w:rsid w:val="003A5A50"/>
    <w:rsid w:val="003A6138"/>
    <w:rsid w:val="003B07C9"/>
    <w:rsid w:val="003B0C6F"/>
    <w:rsid w:val="003C2224"/>
    <w:rsid w:val="003C61D6"/>
    <w:rsid w:val="003C6EC8"/>
    <w:rsid w:val="003D0E85"/>
    <w:rsid w:val="003D4F9E"/>
    <w:rsid w:val="003D6B89"/>
    <w:rsid w:val="003E371D"/>
    <w:rsid w:val="003F1121"/>
    <w:rsid w:val="00401989"/>
    <w:rsid w:val="00407AD8"/>
    <w:rsid w:val="0041325B"/>
    <w:rsid w:val="00413659"/>
    <w:rsid w:val="0041488B"/>
    <w:rsid w:val="00414B22"/>
    <w:rsid w:val="00415A6A"/>
    <w:rsid w:val="00416931"/>
    <w:rsid w:val="00424DEC"/>
    <w:rsid w:val="00425DEE"/>
    <w:rsid w:val="0043086E"/>
    <w:rsid w:val="0044035B"/>
    <w:rsid w:val="00441AA5"/>
    <w:rsid w:val="00443A21"/>
    <w:rsid w:val="00456993"/>
    <w:rsid w:val="004612C2"/>
    <w:rsid w:val="00461911"/>
    <w:rsid w:val="00461DB9"/>
    <w:rsid w:val="004726A5"/>
    <w:rsid w:val="00475A4A"/>
    <w:rsid w:val="00485852"/>
    <w:rsid w:val="00485E70"/>
    <w:rsid w:val="00492239"/>
    <w:rsid w:val="00493CFD"/>
    <w:rsid w:val="004958BB"/>
    <w:rsid w:val="00497689"/>
    <w:rsid w:val="004B37C7"/>
    <w:rsid w:val="004B3CFC"/>
    <w:rsid w:val="004B5032"/>
    <w:rsid w:val="004C0F40"/>
    <w:rsid w:val="004C4461"/>
    <w:rsid w:val="004C607E"/>
    <w:rsid w:val="004C62C0"/>
    <w:rsid w:val="004C6DBC"/>
    <w:rsid w:val="004C7FBD"/>
    <w:rsid w:val="004D1FAF"/>
    <w:rsid w:val="004D4711"/>
    <w:rsid w:val="004D5F53"/>
    <w:rsid w:val="004E23C4"/>
    <w:rsid w:val="004E2530"/>
    <w:rsid w:val="004E3D12"/>
    <w:rsid w:val="004F4444"/>
    <w:rsid w:val="004F67EC"/>
    <w:rsid w:val="004F7AE3"/>
    <w:rsid w:val="00504499"/>
    <w:rsid w:val="005050EF"/>
    <w:rsid w:val="00511519"/>
    <w:rsid w:val="00512001"/>
    <w:rsid w:val="005201CA"/>
    <w:rsid w:val="005229BB"/>
    <w:rsid w:val="00525188"/>
    <w:rsid w:val="00530474"/>
    <w:rsid w:val="00533536"/>
    <w:rsid w:val="00533B1C"/>
    <w:rsid w:val="00533EC8"/>
    <w:rsid w:val="00534477"/>
    <w:rsid w:val="00541A7B"/>
    <w:rsid w:val="00543126"/>
    <w:rsid w:val="005443A1"/>
    <w:rsid w:val="00546498"/>
    <w:rsid w:val="00547D42"/>
    <w:rsid w:val="005602DF"/>
    <w:rsid w:val="00561B53"/>
    <w:rsid w:val="005630A5"/>
    <w:rsid w:val="00576DDF"/>
    <w:rsid w:val="00577B92"/>
    <w:rsid w:val="0058531F"/>
    <w:rsid w:val="00590192"/>
    <w:rsid w:val="0059060D"/>
    <w:rsid w:val="005A7DB1"/>
    <w:rsid w:val="005A7E9C"/>
    <w:rsid w:val="005B0836"/>
    <w:rsid w:val="005B09D2"/>
    <w:rsid w:val="005B2218"/>
    <w:rsid w:val="005B243B"/>
    <w:rsid w:val="005B5B40"/>
    <w:rsid w:val="005B7CDC"/>
    <w:rsid w:val="005C33ED"/>
    <w:rsid w:val="005C4439"/>
    <w:rsid w:val="005C65B7"/>
    <w:rsid w:val="005D1AE9"/>
    <w:rsid w:val="005D5DC2"/>
    <w:rsid w:val="005E0E99"/>
    <w:rsid w:val="005E1842"/>
    <w:rsid w:val="005E249D"/>
    <w:rsid w:val="005E4173"/>
    <w:rsid w:val="005E54B0"/>
    <w:rsid w:val="005F1B79"/>
    <w:rsid w:val="005F1CEB"/>
    <w:rsid w:val="005F3998"/>
    <w:rsid w:val="005F5818"/>
    <w:rsid w:val="006001E3"/>
    <w:rsid w:val="00600F24"/>
    <w:rsid w:val="0060110C"/>
    <w:rsid w:val="00610958"/>
    <w:rsid w:val="00617DAE"/>
    <w:rsid w:val="006210BA"/>
    <w:rsid w:val="006213E2"/>
    <w:rsid w:val="006233B6"/>
    <w:rsid w:val="00624FC4"/>
    <w:rsid w:val="00640A0A"/>
    <w:rsid w:val="006421FF"/>
    <w:rsid w:val="0064466A"/>
    <w:rsid w:val="006515B4"/>
    <w:rsid w:val="00652342"/>
    <w:rsid w:val="006570E0"/>
    <w:rsid w:val="006602D5"/>
    <w:rsid w:val="0066244C"/>
    <w:rsid w:val="00663580"/>
    <w:rsid w:val="006809AA"/>
    <w:rsid w:val="00681150"/>
    <w:rsid w:val="00685895"/>
    <w:rsid w:val="00685FB7"/>
    <w:rsid w:val="0068687C"/>
    <w:rsid w:val="00687087"/>
    <w:rsid w:val="0069236B"/>
    <w:rsid w:val="00694B11"/>
    <w:rsid w:val="00697039"/>
    <w:rsid w:val="006972C0"/>
    <w:rsid w:val="00697F32"/>
    <w:rsid w:val="006A1012"/>
    <w:rsid w:val="006A2051"/>
    <w:rsid w:val="006A7C62"/>
    <w:rsid w:val="006B0AED"/>
    <w:rsid w:val="006B6CC7"/>
    <w:rsid w:val="006B7478"/>
    <w:rsid w:val="006C49DB"/>
    <w:rsid w:val="006C5FFF"/>
    <w:rsid w:val="006C65CF"/>
    <w:rsid w:val="006D54CF"/>
    <w:rsid w:val="006E3530"/>
    <w:rsid w:val="006E3790"/>
    <w:rsid w:val="006E3A61"/>
    <w:rsid w:val="006E6724"/>
    <w:rsid w:val="006E6A20"/>
    <w:rsid w:val="006E7E3E"/>
    <w:rsid w:val="0070035A"/>
    <w:rsid w:val="00701992"/>
    <w:rsid w:val="00702D12"/>
    <w:rsid w:val="007038CB"/>
    <w:rsid w:val="0070547F"/>
    <w:rsid w:val="00710280"/>
    <w:rsid w:val="007140E7"/>
    <w:rsid w:val="007147B2"/>
    <w:rsid w:val="00715BBB"/>
    <w:rsid w:val="00720F29"/>
    <w:rsid w:val="00722308"/>
    <w:rsid w:val="0072269E"/>
    <w:rsid w:val="00722DAD"/>
    <w:rsid w:val="00731C5F"/>
    <w:rsid w:val="0074055B"/>
    <w:rsid w:val="0074574C"/>
    <w:rsid w:val="00747CE2"/>
    <w:rsid w:val="00750181"/>
    <w:rsid w:val="00750C5B"/>
    <w:rsid w:val="0075276A"/>
    <w:rsid w:val="0075350E"/>
    <w:rsid w:val="00753B9F"/>
    <w:rsid w:val="007546E1"/>
    <w:rsid w:val="0075620D"/>
    <w:rsid w:val="00761D60"/>
    <w:rsid w:val="00763C96"/>
    <w:rsid w:val="0076468C"/>
    <w:rsid w:val="00765378"/>
    <w:rsid w:val="00771088"/>
    <w:rsid w:val="00773069"/>
    <w:rsid w:val="00773536"/>
    <w:rsid w:val="0077397D"/>
    <w:rsid w:val="00781148"/>
    <w:rsid w:val="00787F0D"/>
    <w:rsid w:val="007906AD"/>
    <w:rsid w:val="00791D7D"/>
    <w:rsid w:val="00797695"/>
    <w:rsid w:val="007A0082"/>
    <w:rsid w:val="007A0CED"/>
    <w:rsid w:val="007A1361"/>
    <w:rsid w:val="007A2C20"/>
    <w:rsid w:val="007A5D95"/>
    <w:rsid w:val="007A74B1"/>
    <w:rsid w:val="007B0AFA"/>
    <w:rsid w:val="007B38F9"/>
    <w:rsid w:val="007B59D1"/>
    <w:rsid w:val="007B679F"/>
    <w:rsid w:val="007C1C1A"/>
    <w:rsid w:val="007C286C"/>
    <w:rsid w:val="007C33D5"/>
    <w:rsid w:val="007C3B5E"/>
    <w:rsid w:val="007E3CDF"/>
    <w:rsid w:val="007E3E20"/>
    <w:rsid w:val="007E50C2"/>
    <w:rsid w:val="007E5ED7"/>
    <w:rsid w:val="00801C70"/>
    <w:rsid w:val="00804282"/>
    <w:rsid w:val="00807311"/>
    <w:rsid w:val="00810D81"/>
    <w:rsid w:val="0081336C"/>
    <w:rsid w:val="00815B32"/>
    <w:rsid w:val="0081638E"/>
    <w:rsid w:val="00822154"/>
    <w:rsid w:val="0082306D"/>
    <w:rsid w:val="008236B4"/>
    <w:rsid w:val="00824B8D"/>
    <w:rsid w:val="00825CE9"/>
    <w:rsid w:val="00833581"/>
    <w:rsid w:val="00834898"/>
    <w:rsid w:val="00834AED"/>
    <w:rsid w:val="00836F8E"/>
    <w:rsid w:val="00841381"/>
    <w:rsid w:val="00843A81"/>
    <w:rsid w:val="0085091C"/>
    <w:rsid w:val="00853C2E"/>
    <w:rsid w:val="00853F4A"/>
    <w:rsid w:val="00854BFA"/>
    <w:rsid w:val="00857735"/>
    <w:rsid w:val="00857C81"/>
    <w:rsid w:val="00861B43"/>
    <w:rsid w:val="00861C2E"/>
    <w:rsid w:val="008670FE"/>
    <w:rsid w:val="00867F26"/>
    <w:rsid w:val="008742C9"/>
    <w:rsid w:val="00874E5B"/>
    <w:rsid w:val="008756C2"/>
    <w:rsid w:val="008764B5"/>
    <w:rsid w:val="00881892"/>
    <w:rsid w:val="00882FCB"/>
    <w:rsid w:val="00885750"/>
    <w:rsid w:val="008861A5"/>
    <w:rsid w:val="0089047A"/>
    <w:rsid w:val="00890CD3"/>
    <w:rsid w:val="0089190E"/>
    <w:rsid w:val="00894DEA"/>
    <w:rsid w:val="008A4224"/>
    <w:rsid w:val="008A5CB6"/>
    <w:rsid w:val="008B0BEA"/>
    <w:rsid w:val="008B155B"/>
    <w:rsid w:val="008B71B4"/>
    <w:rsid w:val="008C0114"/>
    <w:rsid w:val="008C5AB0"/>
    <w:rsid w:val="008C7CF6"/>
    <w:rsid w:val="008C7DC2"/>
    <w:rsid w:val="008D27B6"/>
    <w:rsid w:val="008D2C81"/>
    <w:rsid w:val="008D39F2"/>
    <w:rsid w:val="008E048D"/>
    <w:rsid w:val="008E54AD"/>
    <w:rsid w:val="008E730B"/>
    <w:rsid w:val="008F077C"/>
    <w:rsid w:val="008F1B68"/>
    <w:rsid w:val="008F1BBD"/>
    <w:rsid w:val="008F1D05"/>
    <w:rsid w:val="00902BD1"/>
    <w:rsid w:val="00907542"/>
    <w:rsid w:val="00910200"/>
    <w:rsid w:val="009164C2"/>
    <w:rsid w:val="00925414"/>
    <w:rsid w:val="00926099"/>
    <w:rsid w:val="00926103"/>
    <w:rsid w:val="00927308"/>
    <w:rsid w:val="00932B40"/>
    <w:rsid w:val="00932CB7"/>
    <w:rsid w:val="00942998"/>
    <w:rsid w:val="009436E0"/>
    <w:rsid w:val="0094507D"/>
    <w:rsid w:val="00950D36"/>
    <w:rsid w:val="00952EA4"/>
    <w:rsid w:val="0095341D"/>
    <w:rsid w:val="00955E63"/>
    <w:rsid w:val="00956D9A"/>
    <w:rsid w:val="0096266D"/>
    <w:rsid w:val="00966C53"/>
    <w:rsid w:val="0097553E"/>
    <w:rsid w:val="00977799"/>
    <w:rsid w:val="00977BE7"/>
    <w:rsid w:val="00980677"/>
    <w:rsid w:val="00980C09"/>
    <w:rsid w:val="00981941"/>
    <w:rsid w:val="00983A48"/>
    <w:rsid w:val="00990852"/>
    <w:rsid w:val="009A0E87"/>
    <w:rsid w:val="009A1EB0"/>
    <w:rsid w:val="009A3526"/>
    <w:rsid w:val="009A4EA0"/>
    <w:rsid w:val="009A6F8A"/>
    <w:rsid w:val="009B4BCF"/>
    <w:rsid w:val="009B5B4F"/>
    <w:rsid w:val="009B5BB7"/>
    <w:rsid w:val="009B5E31"/>
    <w:rsid w:val="009B741B"/>
    <w:rsid w:val="009B7A7E"/>
    <w:rsid w:val="009C2675"/>
    <w:rsid w:val="009C45C0"/>
    <w:rsid w:val="009C6314"/>
    <w:rsid w:val="009C6E19"/>
    <w:rsid w:val="009C7B80"/>
    <w:rsid w:val="009D3220"/>
    <w:rsid w:val="009D3CF7"/>
    <w:rsid w:val="009E06CC"/>
    <w:rsid w:val="009E4D15"/>
    <w:rsid w:val="009E6171"/>
    <w:rsid w:val="009F01EA"/>
    <w:rsid w:val="009F1332"/>
    <w:rsid w:val="009F315E"/>
    <w:rsid w:val="009F46C2"/>
    <w:rsid w:val="009F6C72"/>
    <w:rsid w:val="009F7DB9"/>
    <w:rsid w:val="009F7E1C"/>
    <w:rsid w:val="00A011F0"/>
    <w:rsid w:val="00A01C36"/>
    <w:rsid w:val="00A04546"/>
    <w:rsid w:val="00A05766"/>
    <w:rsid w:val="00A11136"/>
    <w:rsid w:val="00A1647D"/>
    <w:rsid w:val="00A20F38"/>
    <w:rsid w:val="00A25658"/>
    <w:rsid w:val="00A257FE"/>
    <w:rsid w:val="00A328F3"/>
    <w:rsid w:val="00A35381"/>
    <w:rsid w:val="00A358E6"/>
    <w:rsid w:val="00A373DD"/>
    <w:rsid w:val="00A41710"/>
    <w:rsid w:val="00A41AA5"/>
    <w:rsid w:val="00A50B4D"/>
    <w:rsid w:val="00A52AAA"/>
    <w:rsid w:val="00A52E71"/>
    <w:rsid w:val="00A54B87"/>
    <w:rsid w:val="00A54DB5"/>
    <w:rsid w:val="00A56426"/>
    <w:rsid w:val="00A574BF"/>
    <w:rsid w:val="00A640F6"/>
    <w:rsid w:val="00A645A2"/>
    <w:rsid w:val="00A7208B"/>
    <w:rsid w:val="00A738D9"/>
    <w:rsid w:val="00A73C99"/>
    <w:rsid w:val="00A93B6A"/>
    <w:rsid w:val="00A9636B"/>
    <w:rsid w:val="00A966D6"/>
    <w:rsid w:val="00AA5C1C"/>
    <w:rsid w:val="00AB110E"/>
    <w:rsid w:val="00AB24A2"/>
    <w:rsid w:val="00AB278E"/>
    <w:rsid w:val="00AB5282"/>
    <w:rsid w:val="00AB6539"/>
    <w:rsid w:val="00AD43F0"/>
    <w:rsid w:val="00AE0F76"/>
    <w:rsid w:val="00AE311B"/>
    <w:rsid w:val="00AE3488"/>
    <w:rsid w:val="00AF11D7"/>
    <w:rsid w:val="00AF223E"/>
    <w:rsid w:val="00AF2733"/>
    <w:rsid w:val="00AF5049"/>
    <w:rsid w:val="00B03429"/>
    <w:rsid w:val="00B05CD9"/>
    <w:rsid w:val="00B05D48"/>
    <w:rsid w:val="00B116AF"/>
    <w:rsid w:val="00B126CB"/>
    <w:rsid w:val="00B15D07"/>
    <w:rsid w:val="00B166B3"/>
    <w:rsid w:val="00B2389C"/>
    <w:rsid w:val="00B2420B"/>
    <w:rsid w:val="00B25727"/>
    <w:rsid w:val="00B27FC4"/>
    <w:rsid w:val="00B30B05"/>
    <w:rsid w:val="00B34B96"/>
    <w:rsid w:val="00B42FE8"/>
    <w:rsid w:val="00B43DBC"/>
    <w:rsid w:val="00B45CF0"/>
    <w:rsid w:val="00B5158D"/>
    <w:rsid w:val="00B60826"/>
    <w:rsid w:val="00B620C2"/>
    <w:rsid w:val="00B628EE"/>
    <w:rsid w:val="00B65AC6"/>
    <w:rsid w:val="00B75AC2"/>
    <w:rsid w:val="00B8069B"/>
    <w:rsid w:val="00B87468"/>
    <w:rsid w:val="00B9010B"/>
    <w:rsid w:val="00B91B9C"/>
    <w:rsid w:val="00B950D2"/>
    <w:rsid w:val="00B963D0"/>
    <w:rsid w:val="00BA01EB"/>
    <w:rsid w:val="00BA3367"/>
    <w:rsid w:val="00BA4D8D"/>
    <w:rsid w:val="00BB1160"/>
    <w:rsid w:val="00BB39D9"/>
    <w:rsid w:val="00BB6209"/>
    <w:rsid w:val="00BC2220"/>
    <w:rsid w:val="00BC2B93"/>
    <w:rsid w:val="00BC45B7"/>
    <w:rsid w:val="00BC46BE"/>
    <w:rsid w:val="00BD0D63"/>
    <w:rsid w:val="00BD4507"/>
    <w:rsid w:val="00BE22AA"/>
    <w:rsid w:val="00BE3297"/>
    <w:rsid w:val="00BE6720"/>
    <w:rsid w:val="00BF0CA1"/>
    <w:rsid w:val="00BF0F23"/>
    <w:rsid w:val="00BF2547"/>
    <w:rsid w:val="00BF5E11"/>
    <w:rsid w:val="00BF7FDF"/>
    <w:rsid w:val="00C01CA2"/>
    <w:rsid w:val="00C05B5B"/>
    <w:rsid w:val="00C06B0E"/>
    <w:rsid w:val="00C1143E"/>
    <w:rsid w:val="00C11876"/>
    <w:rsid w:val="00C11C3F"/>
    <w:rsid w:val="00C145C5"/>
    <w:rsid w:val="00C25857"/>
    <w:rsid w:val="00C4467E"/>
    <w:rsid w:val="00C4474E"/>
    <w:rsid w:val="00C50A8F"/>
    <w:rsid w:val="00C536C9"/>
    <w:rsid w:val="00C54426"/>
    <w:rsid w:val="00C54617"/>
    <w:rsid w:val="00C605EA"/>
    <w:rsid w:val="00C60787"/>
    <w:rsid w:val="00C60889"/>
    <w:rsid w:val="00C61314"/>
    <w:rsid w:val="00C7314E"/>
    <w:rsid w:val="00C76422"/>
    <w:rsid w:val="00C81AA7"/>
    <w:rsid w:val="00C83097"/>
    <w:rsid w:val="00C85CE2"/>
    <w:rsid w:val="00C91309"/>
    <w:rsid w:val="00C91CCE"/>
    <w:rsid w:val="00C9394A"/>
    <w:rsid w:val="00C943A5"/>
    <w:rsid w:val="00C952AF"/>
    <w:rsid w:val="00CA0905"/>
    <w:rsid w:val="00CB1A27"/>
    <w:rsid w:val="00CB4D63"/>
    <w:rsid w:val="00CC0837"/>
    <w:rsid w:val="00CC188B"/>
    <w:rsid w:val="00CC20DB"/>
    <w:rsid w:val="00CC5DF6"/>
    <w:rsid w:val="00CC69CF"/>
    <w:rsid w:val="00CD49D4"/>
    <w:rsid w:val="00CE327F"/>
    <w:rsid w:val="00CE38E2"/>
    <w:rsid w:val="00CE76CB"/>
    <w:rsid w:val="00CF243B"/>
    <w:rsid w:val="00CF74FF"/>
    <w:rsid w:val="00D0060C"/>
    <w:rsid w:val="00D02D48"/>
    <w:rsid w:val="00D04D6F"/>
    <w:rsid w:val="00D076F3"/>
    <w:rsid w:val="00D12D3F"/>
    <w:rsid w:val="00D14253"/>
    <w:rsid w:val="00D158E9"/>
    <w:rsid w:val="00D202D5"/>
    <w:rsid w:val="00D21BC9"/>
    <w:rsid w:val="00D24F22"/>
    <w:rsid w:val="00D260E9"/>
    <w:rsid w:val="00D27B5C"/>
    <w:rsid w:val="00D32B3E"/>
    <w:rsid w:val="00D3343D"/>
    <w:rsid w:val="00D3571D"/>
    <w:rsid w:val="00D36245"/>
    <w:rsid w:val="00D44426"/>
    <w:rsid w:val="00D44823"/>
    <w:rsid w:val="00D4601D"/>
    <w:rsid w:val="00D62F8B"/>
    <w:rsid w:val="00D63AB2"/>
    <w:rsid w:val="00D64482"/>
    <w:rsid w:val="00D64574"/>
    <w:rsid w:val="00D716B3"/>
    <w:rsid w:val="00D76407"/>
    <w:rsid w:val="00D7641E"/>
    <w:rsid w:val="00D76B10"/>
    <w:rsid w:val="00D8655C"/>
    <w:rsid w:val="00D873DE"/>
    <w:rsid w:val="00D90EF8"/>
    <w:rsid w:val="00D91F81"/>
    <w:rsid w:val="00D92B75"/>
    <w:rsid w:val="00D94E5D"/>
    <w:rsid w:val="00D96635"/>
    <w:rsid w:val="00D970E4"/>
    <w:rsid w:val="00D97ACF"/>
    <w:rsid w:val="00DA2D0A"/>
    <w:rsid w:val="00DA3E4E"/>
    <w:rsid w:val="00DA4356"/>
    <w:rsid w:val="00DA4719"/>
    <w:rsid w:val="00DA6D43"/>
    <w:rsid w:val="00DB0F1B"/>
    <w:rsid w:val="00DB1EAA"/>
    <w:rsid w:val="00DB3766"/>
    <w:rsid w:val="00DB45BA"/>
    <w:rsid w:val="00DB5EEF"/>
    <w:rsid w:val="00DB734E"/>
    <w:rsid w:val="00DC304A"/>
    <w:rsid w:val="00DC4CB0"/>
    <w:rsid w:val="00DC55EB"/>
    <w:rsid w:val="00DC6709"/>
    <w:rsid w:val="00DD1585"/>
    <w:rsid w:val="00DD185A"/>
    <w:rsid w:val="00DD4924"/>
    <w:rsid w:val="00DD5829"/>
    <w:rsid w:val="00DE1F66"/>
    <w:rsid w:val="00DE42E6"/>
    <w:rsid w:val="00DF0F97"/>
    <w:rsid w:val="00DF1DDF"/>
    <w:rsid w:val="00DF2519"/>
    <w:rsid w:val="00DF3C14"/>
    <w:rsid w:val="00E0449F"/>
    <w:rsid w:val="00E10601"/>
    <w:rsid w:val="00E10F98"/>
    <w:rsid w:val="00E1195B"/>
    <w:rsid w:val="00E12E7C"/>
    <w:rsid w:val="00E13675"/>
    <w:rsid w:val="00E13BED"/>
    <w:rsid w:val="00E14B59"/>
    <w:rsid w:val="00E151DB"/>
    <w:rsid w:val="00E32CA6"/>
    <w:rsid w:val="00E375F1"/>
    <w:rsid w:val="00E376BD"/>
    <w:rsid w:val="00E40C88"/>
    <w:rsid w:val="00E45460"/>
    <w:rsid w:val="00E47199"/>
    <w:rsid w:val="00E541EA"/>
    <w:rsid w:val="00E56D8C"/>
    <w:rsid w:val="00E6057E"/>
    <w:rsid w:val="00E640EF"/>
    <w:rsid w:val="00E675C5"/>
    <w:rsid w:val="00E71ADB"/>
    <w:rsid w:val="00E72ED1"/>
    <w:rsid w:val="00E76FE8"/>
    <w:rsid w:val="00E82A31"/>
    <w:rsid w:val="00E845CF"/>
    <w:rsid w:val="00E909F9"/>
    <w:rsid w:val="00E91772"/>
    <w:rsid w:val="00E92744"/>
    <w:rsid w:val="00E93F97"/>
    <w:rsid w:val="00E94048"/>
    <w:rsid w:val="00E9600E"/>
    <w:rsid w:val="00EA39E2"/>
    <w:rsid w:val="00EA5DFA"/>
    <w:rsid w:val="00EA7C7E"/>
    <w:rsid w:val="00EB11D6"/>
    <w:rsid w:val="00EB6111"/>
    <w:rsid w:val="00EC7CF2"/>
    <w:rsid w:val="00ED086E"/>
    <w:rsid w:val="00ED4D55"/>
    <w:rsid w:val="00ED4F07"/>
    <w:rsid w:val="00ED6AAE"/>
    <w:rsid w:val="00ED788C"/>
    <w:rsid w:val="00EE4391"/>
    <w:rsid w:val="00EE4604"/>
    <w:rsid w:val="00EF254D"/>
    <w:rsid w:val="00EF4233"/>
    <w:rsid w:val="00EF518E"/>
    <w:rsid w:val="00EF7ED2"/>
    <w:rsid w:val="00F00E57"/>
    <w:rsid w:val="00F03390"/>
    <w:rsid w:val="00F03D39"/>
    <w:rsid w:val="00F06E89"/>
    <w:rsid w:val="00F0730E"/>
    <w:rsid w:val="00F15113"/>
    <w:rsid w:val="00F17A4D"/>
    <w:rsid w:val="00F24D52"/>
    <w:rsid w:val="00F34988"/>
    <w:rsid w:val="00F3663C"/>
    <w:rsid w:val="00F403AB"/>
    <w:rsid w:val="00F423C5"/>
    <w:rsid w:val="00F42A65"/>
    <w:rsid w:val="00F45079"/>
    <w:rsid w:val="00F45C5A"/>
    <w:rsid w:val="00F46A83"/>
    <w:rsid w:val="00F51FFC"/>
    <w:rsid w:val="00F5395E"/>
    <w:rsid w:val="00F6289F"/>
    <w:rsid w:val="00F66A0E"/>
    <w:rsid w:val="00F72967"/>
    <w:rsid w:val="00F73A73"/>
    <w:rsid w:val="00F93269"/>
    <w:rsid w:val="00F93A2E"/>
    <w:rsid w:val="00F95E09"/>
    <w:rsid w:val="00FA237A"/>
    <w:rsid w:val="00FA30DA"/>
    <w:rsid w:val="00FA40B3"/>
    <w:rsid w:val="00FA452B"/>
    <w:rsid w:val="00FA51B0"/>
    <w:rsid w:val="00FA56FE"/>
    <w:rsid w:val="00FB1381"/>
    <w:rsid w:val="00FB561C"/>
    <w:rsid w:val="00FB6874"/>
    <w:rsid w:val="00FC3937"/>
    <w:rsid w:val="00FC59DA"/>
    <w:rsid w:val="00FC7D4B"/>
    <w:rsid w:val="00FD58CD"/>
    <w:rsid w:val="00FE20C4"/>
    <w:rsid w:val="00FE336F"/>
    <w:rsid w:val="00FE3A32"/>
    <w:rsid w:val="00FE42DA"/>
    <w:rsid w:val="00FE587C"/>
    <w:rsid w:val="00FE5A82"/>
    <w:rsid w:val="00FE6AB0"/>
    <w:rsid w:val="00FF0A47"/>
    <w:rsid w:val="00FF4C5B"/>
    <w:rsid w:val="00FF4E94"/>
    <w:rsid w:val="00FF597D"/>
    <w:rsid w:val="00FF66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8C9D"/>
  <w15:docId w15:val="{7DDD9A2E-80FF-48E5-B051-4631A5D0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B9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A2A76"/>
    <w:pPr>
      <w:tabs>
        <w:tab w:val="center" w:pos="4252"/>
        <w:tab w:val="right" w:pos="8504"/>
      </w:tabs>
    </w:pPr>
    <w:rPr>
      <w:rFonts w:eastAsia="MS Mincho"/>
    </w:rPr>
  </w:style>
  <w:style w:type="character" w:customStyle="1" w:styleId="EncabezadoCar">
    <w:name w:val="Encabezado Car"/>
    <w:basedOn w:val="Fuentedeprrafopredeter"/>
    <w:link w:val="Encabezado"/>
    <w:uiPriority w:val="99"/>
    <w:rsid w:val="001A2A76"/>
    <w:rPr>
      <w:rFonts w:ascii="Times New Roman" w:eastAsia="MS Mincho" w:hAnsi="Times New Roman" w:cs="Times New Roman"/>
      <w:sz w:val="24"/>
      <w:szCs w:val="24"/>
      <w:lang w:eastAsia="es-ES"/>
    </w:rPr>
  </w:style>
  <w:style w:type="paragraph" w:styleId="Piedepgina">
    <w:name w:val="footer"/>
    <w:basedOn w:val="Normal"/>
    <w:link w:val="PiedepginaCar"/>
    <w:uiPriority w:val="99"/>
    <w:rsid w:val="001A2A76"/>
    <w:pPr>
      <w:tabs>
        <w:tab w:val="center" w:pos="4252"/>
        <w:tab w:val="right" w:pos="8504"/>
      </w:tabs>
    </w:pPr>
    <w:rPr>
      <w:rFonts w:eastAsia="MS Mincho"/>
    </w:rPr>
  </w:style>
  <w:style w:type="character" w:customStyle="1" w:styleId="PiedepginaCar">
    <w:name w:val="Pie de página Car"/>
    <w:basedOn w:val="Fuentedeprrafopredeter"/>
    <w:link w:val="Piedepgina"/>
    <w:uiPriority w:val="99"/>
    <w:rsid w:val="001A2A76"/>
    <w:rPr>
      <w:rFonts w:ascii="Times New Roman" w:eastAsia="MS Mincho" w:hAnsi="Times New Roman" w:cs="Times New Roman"/>
      <w:sz w:val="24"/>
      <w:szCs w:val="24"/>
      <w:lang w:eastAsia="es-ES"/>
    </w:rPr>
  </w:style>
  <w:style w:type="character" w:styleId="Nmerodepgina">
    <w:name w:val="page number"/>
    <w:basedOn w:val="Fuentedeprrafopredeter"/>
    <w:uiPriority w:val="99"/>
    <w:rsid w:val="001A2A76"/>
    <w:rPr>
      <w:rFonts w:cs="Times New Roman"/>
    </w:rPr>
  </w:style>
  <w:style w:type="character" w:styleId="Hipervnculo">
    <w:name w:val="Hyperlink"/>
    <w:basedOn w:val="Fuentedeprrafopredeter"/>
    <w:uiPriority w:val="99"/>
    <w:rsid w:val="001A2A76"/>
    <w:rPr>
      <w:rFonts w:cs="Times New Roman"/>
      <w:color w:val="0000FF"/>
      <w:u w:val="single"/>
    </w:rPr>
  </w:style>
  <w:style w:type="character" w:styleId="Refdecomentario">
    <w:name w:val="annotation reference"/>
    <w:basedOn w:val="Fuentedeprrafopredeter"/>
    <w:uiPriority w:val="99"/>
    <w:rsid w:val="001A2A76"/>
    <w:rPr>
      <w:rFonts w:cs="Times New Roman"/>
      <w:sz w:val="16"/>
    </w:rPr>
  </w:style>
  <w:style w:type="paragraph" w:styleId="Textocomentario">
    <w:name w:val="annotation text"/>
    <w:basedOn w:val="Normal"/>
    <w:link w:val="TextocomentarioCar"/>
    <w:uiPriority w:val="99"/>
    <w:rsid w:val="001A2A76"/>
    <w:rPr>
      <w:rFonts w:eastAsia="MS Mincho"/>
      <w:sz w:val="20"/>
      <w:szCs w:val="20"/>
      <w:lang w:eastAsia="ja-JP"/>
    </w:rPr>
  </w:style>
  <w:style w:type="character" w:customStyle="1" w:styleId="TextocomentarioCar">
    <w:name w:val="Texto comentario Car"/>
    <w:basedOn w:val="Fuentedeprrafopredeter"/>
    <w:link w:val="Textocomentario"/>
    <w:uiPriority w:val="99"/>
    <w:rsid w:val="001A2A76"/>
    <w:rPr>
      <w:rFonts w:ascii="Times New Roman" w:eastAsia="MS Mincho" w:hAnsi="Times New Roman" w:cs="Times New Roman"/>
      <w:sz w:val="20"/>
      <w:szCs w:val="20"/>
      <w:lang w:eastAsia="ja-JP"/>
    </w:rPr>
  </w:style>
  <w:style w:type="paragraph" w:styleId="Prrafodelista">
    <w:name w:val="List Paragraph"/>
    <w:basedOn w:val="Normal"/>
    <w:link w:val="PrrafodelistaCar"/>
    <w:uiPriority w:val="34"/>
    <w:qFormat/>
    <w:rsid w:val="001A2A76"/>
    <w:pPr>
      <w:ind w:left="720"/>
      <w:contextualSpacing/>
    </w:pPr>
    <w:rPr>
      <w:rFonts w:eastAsia="MS Mincho"/>
    </w:rPr>
  </w:style>
  <w:style w:type="paragraph" w:styleId="NormalWeb">
    <w:name w:val="Normal (Web)"/>
    <w:basedOn w:val="Normal"/>
    <w:uiPriority w:val="99"/>
    <w:unhideWhenUsed/>
    <w:rsid w:val="001A2A76"/>
    <w:pPr>
      <w:spacing w:before="100" w:beforeAutospacing="1" w:after="100" w:afterAutospacing="1"/>
    </w:pPr>
  </w:style>
  <w:style w:type="character" w:customStyle="1" w:styleId="PrrafodelistaCar">
    <w:name w:val="Párrafo de lista Car"/>
    <w:basedOn w:val="Fuentedeprrafopredeter"/>
    <w:link w:val="Prrafodelista"/>
    <w:uiPriority w:val="34"/>
    <w:locked/>
    <w:rsid w:val="001A2A76"/>
    <w:rPr>
      <w:rFonts w:ascii="Times New Roman" w:eastAsia="MS Mincho" w:hAnsi="Times New Roman" w:cs="Times New Roman"/>
      <w:sz w:val="24"/>
      <w:szCs w:val="24"/>
      <w:lang w:eastAsia="es-ES"/>
    </w:rPr>
  </w:style>
  <w:style w:type="character" w:customStyle="1" w:styleId="normaltextrun">
    <w:name w:val="normaltextrun"/>
    <w:basedOn w:val="Fuentedeprrafopredeter"/>
    <w:rsid w:val="00694B11"/>
  </w:style>
  <w:style w:type="character" w:styleId="nfasis">
    <w:name w:val="Emphasis"/>
    <w:basedOn w:val="Fuentedeprrafopredeter"/>
    <w:uiPriority w:val="20"/>
    <w:qFormat/>
    <w:rsid w:val="0072269E"/>
    <w:rPr>
      <w:i/>
      <w:iCs/>
    </w:rPr>
  </w:style>
  <w:style w:type="character" w:customStyle="1" w:styleId="Mencinsinresolver1">
    <w:name w:val="Mención sin resolver1"/>
    <w:basedOn w:val="Fuentedeprrafopredeter"/>
    <w:uiPriority w:val="99"/>
    <w:semiHidden/>
    <w:unhideWhenUsed/>
    <w:rsid w:val="002A3D92"/>
    <w:rPr>
      <w:color w:val="605E5C"/>
      <w:shd w:val="clear" w:color="auto" w:fill="E1DFDD"/>
    </w:rPr>
  </w:style>
  <w:style w:type="paragraph" w:styleId="Textodeglobo">
    <w:name w:val="Balloon Text"/>
    <w:basedOn w:val="Normal"/>
    <w:link w:val="TextodegloboCar"/>
    <w:uiPriority w:val="99"/>
    <w:semiHidden/>
    <w:unhideWhenUsed/>
    <w:rsid w:val="0001254E"/>
    <w:rPr>
      <w:rFonts w:ascii="Tahoma" w:eastAsia="MS Mincho" w:hAnsi="Tahoma" w:cs="Tahoma"/>
      <w:sz w:val="16"/>
      <w:szCs w:val="16"/>
    </w:rPr>
  </w:style>
  <w:style w:type="character" w:customStyle="1" w:styleId="TextodegloboCar">
    <w:name w:val="Texto de globo Car"/>
    <w:basedOn w:val="Fuentedeprrafopredeter"/>
    <w:link w:val="Textodeglobo"/>
    <w:uiPriority w:val="99"/>
    <w:semiHidden/>
    <w:rsid w:val="0001254E"/>
    <w:rPr>
      <w:rFonts w:ascii="Tahoma" w:eastAsia="MS Mincho" w:hAnsi="Tahoma" w:cs="Tahoma"/>
      <w:sz w:val="16"/>
      <w:szCs w:val="16"/>
      <w:lang w:eastAsia="es-ES"/>
    </w:rPr>
  </w:style>
  <w:style w:type="character" w:styleId="Mencinsinresolver">
    <w:name w:val="Unresolved Mention"/>
    <w:basedOn w:val="Fuentedeprrafopredeter"/>
    <w:uiPriority w:val="99"/>
    <w:semiHidden/>
    <w:unhideWhenUsed/>
    <w:rsid w:val="009A1EB0"/>
    <w:rPr>
      <w:color w:val="605E5C"/>
      <w:shd w:val="clear" w:color="auto" w:fill="E1DFDD"/>
    </w:rPr>
  </w:style>
  <w:style w:type="paragraph" w:styleId="Revisin">
    <w:name w:val="Revision"/>
    <w:hidden/>
    <w:uiPriority w:val="99"/>
    <w:semiHidden/>
    <w:rsid w:val="00F17A4D"/>
    <w:pPr>
      <w:spacing w:after="0" w:line="240" w:lineRule="auto"/>
    </w:pPr>
    <w:rPr>
      <w:rFonts w:ascii="Times New Roman" w:eastAsia="MS Mincho"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A4D8D"/>
    <w:rPr>
      <w:b/>
      <w:bCs/>
      <w:lang w:eastAsia="es-ES"/>
    </w:rPr>
  </w:style>
  <w:style w:type="character" w:customStyle="1" w:styleId="AsuntodelcomentarioCar">
    <w:name w:val="Asunto del comentario Car"/>
    <w:basedOn w:val="TextocomentarioCar"/>
    <w:link w:val="Asuntodelcomentario"/>
    <w:uiPriority w:val="99"/>
    <w:semiHidden/>
    <w:rsid w:val="00BA4D8D"/>
    <w:rPr>
      <w:rFonts w:ascii="Times New Roman" w:eastAsia="MS Mincho" w:hAnsi="Times New Roman" w:cs="Times New Roman"/>
      <w:b/>
      <w:bCs/>
      <w:sz w:val="20"/>
      <w:szCs w:val="20"/>
      <w:lang w:eastAsia="es-ES"/>
    </w:rPr>
  </w:style>
  <w:style w:type="character" w:styleId="Hipervnculovisitado">
    <w:name w:val="FollowedHyperlink"/>
    <w:basedOn w:val="Fuentedeprrafopredeter"/>
    <w:uiPriority w:val="99"/>
    <w:semiHidden/>
    <w:unhideWhenUsed/>
    <w:rsid w:val="00461911"/>
    <w:rPr>
      <w:color w:val="954F72" w:themeColor="followedHyperlink"/>
      <w:u w:val="single"/>
    </w:rPr>
  </w:style>
  <w:style w:type="paragraph" w:customStyle="1" w:styleId="zlae0wtextbase">
    <w:name w:val="zlae0w_textbase"/>
    <w:basedOn w:val="Normal"/>
    <w:rsid w:val="00FE336F"/>
    <w:pPr>
      <w:spacing w:before="100" w:beforeAutospacing="1" w:after="100" w:afterAutospacing="1"/>
    </w:pPr>
  </w:style>
  <w:style w:type="character" w:customStyle="1" w:styleId="zlae0wtextbase1">
    <w:name w:val="zlae0w_textbase1"/>
    <w:basedOn w:val="Fuentedeprrafopredeter"/>
    <w:rsid w:val="00FE336F"/>
  </w:style>
  <w:style w:type="character" w:customStyle="1" w:styleId="ac5dtabox">
    <w:name w:val="ac5dta_box"/>
    <w:basedOn w:val="Fuentedeprrafopredeter"/>
    <w:rsid w:val="00FE336F"/>
  </w:style>
  <w:style w:type="table" w:styleId="Tablaconcuadrcula">
    <w:name w:val="Table Grid"/>
    <w:basedOn w:val="Tablanormal"/>
    <w:uiPriority w:val="39"/>
    <w:rsid w:val="000A7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B91B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5472">
      <w:bodyDiv w:val="1"/>
      <w:marLeft w:val="0"/>
      <w:marRight w:val="0"/>
      <w:marTop w:val="0"/>
      <w:marBottom w:val="0"/>
      <w:divBdr>
        <w:top w:val="none" w:sz="0" w:space="0" w:color="auto"/>
        <w:left w:val="none" w:sz="0" w:space="0" w:color="auto"/>
        <w:bottom w:val="none" w:sz="0" w:space="0" w:color="auto"/>
        <w:right w:val="none" w:sz="0" w:space="0" w:color="auto"/>
      </w:divBdr>
    </w:div>
    <w:div w:id="94403549">
      <w:bodyDiv w:val="1"/>
      <w:marLeft w:val="0"/>
      <w:marRight w:val="0"/>
      <w:marTop w:val="0"/>
      <w:marBottom w:val="0"/>
      <w:divBdr>
        <w:top w:val="none" w:sz="0" w:space="0" w:color="auto"/>
        <w:left w:val="none" w:sz="0" w:space="0" w:color="auto"/>
        <w:bottom w:val="none" w:sz="0" w:space="0" w:color="auto"/>
        <w:right w:val="none" w:sz="0" w:space="0" w:color="auto"/>
      </w:divBdr>
    </w:div>
    <w:div w:id="121778022">
      <w:bodyDiv w:val="1"/>
      <w:marLeft w:val="0"/>
      <w:marRight w:val="0"/>
      <w:marTop w:val="0"/>
      <w:marBottom w:val="0"/>
      <w:divBdr>
        <w:top w:val="none" w:sz="0" w:space="0" w:color="auto"/>
        <w:left w:val="none" w:sz="0" w:space="0" w:color="auto"/>
        <w:bottom w:val="none" w:sz="0" w:space="0" w:color="auto"/>
        <w:right w:val="none" w:sz="0" w:space="0" w:color="auto"/>
      </w:divBdr>
    </w:div>
    <w:div w:id="206647555">
      <w:bodyDiv w:val="1"/>
      <w:marLeft w:val="0"/>
      <w:marRight w:val="0"/>
      <w:marTop w:val="0"/>
      <w:marBottom w:val="0"/>
      <w:divBdr>
        <w:top w:val="none" w:sz="0" w:space="0" w:color="auto"/>
        <w:left w:val="none" w:sz="0" w:space="0" w:color="auto"/>
        <w:bottom w:val="none" w:sz="0" w:space="0" w:color="auto"/>
        <w:right w:val="none" w:sz="0" w:space="0" w:color="auto"/>
      </w:divBdr>
    </w:div>
    <w:div w:id="265775920">
      <w:bodyDiv w:val="1"/>
      <w:marLeft w:val="0"/>
      <w:marRight w:val="0"/>
      <w:marTop w:val="0"/>
      <w:marBottom w:val="0"/>
      <w:divBdr>
        <w:top w:val="none" w:sz="0" w:space="0" w:color="auto"/>
        <w:left w:val="none" w:sz="0" w:space="0" w:color="auto"/>
        <w:bottom w:val="none" w:sz="0" w:space="0" w:color="auto"/>
        <w:right w:val="none" w:sz="0" w:space="0" w:color="auto"/>
      </w:divBdr>
    </w:div>
    <w:div w:id="322707354">
      <w:bodyDiv w:val="1"/>
      <w:marLeft w:val="0"/>
      <w:marRight w:val="0"/>
      <w:marTop w:val="0"/>
      <w:marBottom w:val="0"/>
      <w:divBdr>
        <w:top w:val="none" w:sz="0" w:space="0" w:color="auto"/>
        <w:left w:val="none" w:sz="0" w:space="0" w:color="auto"/>
        <w:bottom w:val="none" w:sz="0" w:space="0" w:color="auto"/>
        <w:right w:val="none" w:sz="0" w:space="0" w:color="auto"/>
      </w:divBdr>
    </w:div>
    <w:div w:id="323583487">
      <w:bodyDiv w:val="1"/>
      <w:marLeft w:val="0"/>
      <w:marRight w:val="0"/>
      <w:marTop w:val="0"/>
      <w:marBottom w:val="0"/>
      <w:divBdr>
        <w:top w:val="none" w:sz="0" w:space="0" w:color="auto"/>
        <w:left w:val="none" w:sz="0" w:space="0" w:color="auto"/>
        <w:bottom w:val="none" w:sz="0" w:space="0" w:color="auto"/>
        <w:right w:val="none" w:sz="0" w:space="0" w:color="auto"/>
      </w:divBdr>
    </w:div>
    <w:div w:id="358898664">
      <w:bodyDiv w:val="1"/>
      <w:marLeft w:val="0"/>
      <w:marRight w:val="0"/>
      <w:marTop w:val="0"/>
      <w:marBottom w:val="0"/>
      <w:divBdr>
        <w:top w:val="none" w:sz="0" w:space="0" w:color="auto"/>
        <w:left w:val="none" w:sz="0" w:space="0" w:color="auto"/>
        <w:bottom w:val="none" w:sz="0" w:space="0" w:color="auto"/>
        <w:right w:val="none" w:sz="0" w:space="0" w:color="auto"/>
      </w:divBdr>
    </w:div>
    <w:div w:id="359666667">
      <w:bodyDiv w:val="1"/>
      <w:marLeft w:val="0"/>
      <w:marRight w:val="0"/>
      <w:marTop w:val="0"/>
      <w:marBottom w:val="0"/>
      <w:divBdr>
        <w:top w:val="none" w:sz="0" w:space="0" w:color="auto"/>
        <w:left w:val="none" w:sz="0" w:space="0" w:color="auto"/>
        <w:bottom w:val="none" w:sz="0" w:space="0" w:color="auto"/>
        <w:right w:val="none" w:sz="0" w:space="0" w:color="auto"/>
      </w:divBdr>
    </w:div>
    <w:div w:id="395978433">
      <w:bodyDiv w:val="1"/>
      <w:marLeft w:val="0"/>
      <w:marRight w:val="0"/>
      <w:marTop w:val="0"/>
      <w:marBottom w:val="0"/>
      <w:divBdr>
        <w:top w:val="none" w:sz="0" w:space="0" w:color="auto"/>
        <w:left w:val="none" w:sz="0" w:space="0" w:color="auto"/>
        <w:bottom w:val="none" w:sz="0" w:space="0" w:color="auto"/>
        <w:right w:val="none" w:sz="0" w:space="0" w:color="auto"/>
      </w:divBdr>
    </w:div>
    <w:div w:id="418596719">
      <w:bodyDiv w:val="1"/>
      <w:marLeft w:val="0"/>
      <w:marRight w:val="0"/>
      <w:marTop w:val="0"/>
      <w:marBottom w:val="0"/>
      <w:divBdr>
        <w:top w:val="none" w:sz="0" w:space="0" w:color="auto"/>
        <w:left w:val="none" w:sz="0" w:space="0" w:color="auto"/>
        <w:bottom w:val="none" w:sz="0" w:space="0" w:color="auto"/>
        <w:right w:val="none" w:sz="0" w:space="0" w:color="auto"/>
      </w:divBdr>
    </w:div>
    <w:div w:id="446660038">
      <w:bodyDiv w:val="1"/>
      <w:marLeft w:val="0"/>
      <w:marRight w:val="0"/>
      <w:marTop w:val="0"/>
      <w:marBottom w:val="0"/>
      <w:divBdr>
        <w:top w:val="none" w:sz="0" w:space="0" w:color="auto"/>
        <w:left w:val="none" w:sz="0" w:space="0" w:color="auto"/>
        <w:bottom w:val="none" w:sz="0" w:space="0" w:color="auto"/>
        <w:right w:val="none" w:sz="0" w:space="0" w:color="auto"/>
      </w:divBdr>
    </w:div>
    <w:div w:id="482935874">
      <w:bodyDiv w:val="1"/>
      <w:marLeft w:val="0"/>
      <w:marRight w:val="0"/>
      <w:marTop w:val="0"/>
      <w:marBottom w:val="0"/>
      <w:divBdr>
        <w:top w:val="none" w:sz="0" w:space="0" w:color="auto"/>
        <w:left w:val="none" w:sz="0" w:space="0" w:color="auto"/>
        <w:bottom w:val="none" w:sz="0" w:space="0" w:color="auto"/>
        <w:right w:val="none" w:sz="0" w:space="0" w:color="auto"/>
      </w:divBdr>
    </w:div>
    <w:div w:id="489752631">
      <w:bodyDiv w:val="1"/>
      <w:marLeft w:val="0"/>
      <w:marRight w:val="0"/>
      <w:marTop w:val="0"/>
      <w:marBottom w:val="0"/>
      <w:divBdr>
        <w:top w:val="none" w:sz="0" w:space="0" w:color="auto"/>
        <w:left w:val="none" w:sz="0" w:space="0" w:color="auto"/>
        <w:bottom w:val="none" w:sz="0" w:space="0" w:color="auto"/>
        <w:right w:val="none" w:sz="0" w:space="0" w:color="auto"/>
      </w:divBdr>
    </w:div>
    <w:div w:id="505442985">
      <w:bodyDiv w:val="1"/>
      <w:marLeft w:val="0"/>
      <w:marRight w:val="0"/>
      <w:marTop w:val="0"/>
      <w:marBottom w:val="0"/>
      <w:divBdr>
        <w:top w:val="none" w:sz="0" w:space="0" w:color="auto"/>
        <w:left w:val="none" w:sz="0" w:space="0" w:color="auto"/>
        <w:bottom w:val="none" w:sz="0" w:space="0" w:color="auto"/>
        <w:right w:val="none" w:sz="0" w:space="0" w:color="auto"/>
      </w:divBdr>
    </w:div>
    <w:div w:id="507906010">
      <w:bodyDiv w:val="1"/>
      <w:marLeft w:val="0"/>
      <w:marRight w:val="0"/>
      <w:marTop w:val="0"/>
      <w:marBottom w:val="0"/>
      <w:divBdr>
        <w:top w:val="none" w:sz="0" w:space="0" w:color="auto"/>
        <w:left w:val="none" w:sz="0" w:space="0" w:color="auto"/>
        <w:bottom w:val="none" w:sz="0" w:space="0" w:color="auto"/>
        <w:right w:val="none" w:sz="0" w:space="0" w:color="auto"/>
      </w:divBdr>
    </w:div>
    <w:div w:id="537204945">
      <w:bodyDiv w:val="1"/>
      <w:marLeft w:val="0"/>
      <w:marRight w:val="0"/>
      <w:marTop w:val="0"/>
      <w:marBottom w:val="0"/>
      <w:divBdr>
        <w:top w:val="none" w:sz="0" w:space="0" w:color="auto"/>
        <w:left w:val="none" w:sz="0" w:space="0" w:color="auto"/>
        <w:bottom w:val="none" w:sz="0" w:space="0" w:color="auto"/>
        <w:right w:val="none" w:sz="0" w:space="0" w:color="auto"/>
      </w:divBdr>
    </w:div>
    <w:div w:id="562451697">
      <w:bodyDiv w:val="1"/>
      <w:marLeft w:val="0"/>
      <w:marRight w:val="0"/>
      <w:marTop w:val="0"/>
      <w:marBottom w:val="0"/>
      <w:divBdr>
        <w:top w:val="none" w:sz="0" w:space="0" w:color="auto"/>
        <w:left w:val="none" w:sz="0" w:space="0" w:color="auto"/>
        <w:bottom w:val="none" w:sz="0" w:space="0" w:color="auto"/>
        <w:right w:val="none" w:sz="0" w:space="0" w:color="auto"/>
      </w:divBdr>
    </w:div>
    <w:div w:id="598217711">
      <w:bodyDiv w:val="1"/>
      <w:marLeft w:val="0"/>
      <w:marRight w:val="0"/>
      <w:marTop w:val="0"/>
      <w:marBottom w:val="0"/>
      <w:divBdr>
        <w:top w:val="none" w:sz="0" w:space="0" w:color="auto"/>
        <w:left w:val="none" w:sz="0" w:space="0" w:color="auto"/>
        <w:bottom w:val="none" w:sz="0" w:space="0" w:color="auto"/>
        <w:right w:val="none" w:sz="0" w:space="0" w:color="auto"/>
      </w:divBdr>
    </w:div>
    <w:div w:id="623973256">
      <w:bodyDiv w:val="1"/>
      <w:marLeft w:val="0"/>
      <w:marRight w:val="0"/>
      <w:marTop w:val="0"/>
      <w:marBottom w:val="0"/>
      <w:divBdr>
        <w:top w:val="none" w:sz="0" w:space="0" w:color="auto"/>
        <w:left w:val="none" w:sz="0" w:space="0" w:color="auto"/>
        <w:bottom w:val="none" w:sz="0" w:space="0" w:color="auto"/>
        <w:right w:val="none" w:sz="0" w:space="0" w:color="auto"/>
      </w:divBdr>
    </w:div>
    <w:div w:id="687293555">
      <w:bodyDiv w:val="1"/>
      <w:marLeft w:val="0"/>
      <w:marRight w:val="0"/>
      <w:marTop w:val="0"/>
      <w:marBottom w:val="0"/>
      <w:divBdr>
        <w:top w:val="none" w:sz="0" w:space="0" w:color="auto"/>
        <w:left w:val="none" w:sz="0" w:space="0" w:color="auto"/>
        <w:bottom w:val="none" w:sz="0" w:space="0" w:color="auto"/>
        <w:right w:val="none" w:sz="0" w:space="0" w:color="auto"/>
      </w:divBdr>
    </w:div>
    <w:div w:id="694111533">
      <w:bodyDiv w:val="1"/>
      <w:marLeft w:val="0"/>
      <w:marRight w:val="0"/>
      <w:marTop w:val="0"/>
      <w:marBottom w:val="0"/>
      <w:divBdr>
        <w:top w:val="none" w:sz="0" w:space="0" w:color="auto"/>
        <w:left w:val="none" w:sz="0" w:space="0" w:color="auto"/>
        <w:bottom w:val="none" w:sz="0" w:space="0" w:color="auto"/>
        <w:right w:val="none" w:sz="0" w:space="0" w:color="auto"/>
      </w:divBdr>
    </w:div>
    <w:div w:id="804589289">
      <w:bodyDiv w:val="1"/>
      <w:marLeft w:val="0"/>
      <w:marRight w:val="0"/>
      <w:marTop w:val="0"/>
      <w:marBottom w:val="0"/>
      <w:divBdr>
        <w:top w:val="none" w:sz="0" w:space="0" w:color="auto"/>
        <w:left w:val="none" w:sz="0" w:space="0" w:color="auto"/>
        <w:bottom w:val="none" w:sz="0" w:space="0" w:color="auto"/>
        <w:right w:val="none" w:sz="0" w:space="0" w:color="auto"/>
      </w:divBdr>
    </w:div>
    <w:div w:id="914322571">
      <w:bodyDiv w:val="1"/>
      <w:marLeft w:val="0"/>
      <w:marRight w:val="0"/>
      <w:marTop w:val="0"/>
      <w:marBottom w:val="0"/>
      <w:divBdr>
        <w:top w:val="none" w:sz="0" w:space="0" w:color="auto"/>
        <w:left w:val="none" w:sz="0" w:space="0" w:color="auto"/>
        <w:bottom w:val="none" w:sz="0" w:space="0" w:color="auto"/>
        <w:right w:val="none" w:sz="0" w:space="0" w:color="auto"/>
      </w:divBdr>
    </w:div>
    <w:div w:id="921061617">
      <w:bodyDiv w:val="1"/>
      <w:marLeft w:val="0"/>
      <w:marRight w:val="0"/>
      <w:marTop w:val="0"/>
      <w:marBottom w:val="0"/>
      <w:divBdr>
        <w:top w:val="none" w:sz="0" w:space="0" w:color="auto"/>
        <w:left w:val="none" w:sz="0" w:space="0" w:color="auto"/>
        <w:bottom w:val="none" w:sz="0" w:space="0" w:color="auto"/>
        <w:right w:val="none" w:sz="0" w:space="0" w:color="auto"/>
      </w:divBdr>
    </w:div>
    <w:div w:id="925771806">
      <w:bodyDiv w:val="1"/>
      <w:marLeft w:val="0"/>
      <w:marRight w:val="0"/>
      <w:marTop w:val="0"/>
      <w:marBottom w:val="0"/>
      <w:divBdr>
        <w:top w:val="none" w:sz="0" w:space="0" w:color="auto"/>
        <w:left w:val="none" w:sz="0" w:space="0" w:color="auto"/>
        <w:bottom w:val="none" w:sz="0" w:space="0" w:color="auto"/>
        <w:right w:val="none" w:sz="0" w:space="0" w:color="auto"/>
      </w:divBdr>
    </w:div>
    <w:div w:id="938027819">
      <w:bodyDiv w:val="1"/>
      <w:marLeft w:val="0"/>
      <w:marRight w:val="0"/>
      <w:marTop w:val="0"/>
      <w:marBottom w:val="0"/>
      <w:divBdr>
        <w:top w:val="none" w:sz="0" w:space="0" w:color="auto"/>
        <w:left w:val="none" w:sz="0" w:space="0" w:color="auto"/>
        <w:bottom w:val="none" w:sz="0" w:space="0" w:color="auto"/>
        <w:right w:val="none" w:sz="0" w:space="0" w:color="auto"/>
      </w:divBdr>
    </w:div>
    <w:div w:id="978924012">
      <w:bodyDiv w:val="1"/>
      <w:marLeft w:val="0"/>
      <w:marRight w:val="0"/>
      <w:marTop w:val="0"/>
      <w:marBottom w:val="0"/>
      <w:divBdr>
        <w:top w:val="none" w:sz="0" w:space="0" w:color="auto"/>
        <w:left w:val="none" w:sz="0" w:space="0" w:color="auto"/>
        <w:bottom w:val="none" w:sz="0" w:space="0" w:color="auto"/>
        <w:right w:val="none" w:sz="0" w:space="0" w:color="auto"/>
      </w:divBdr>
    </w:div>
    <w:div w:id="982545462">
      <w:bodyDiv w:val="1"/>
      <w:marLeft w:val="0"/>
      <w:marRight w:val="0"/>
      <w:marTop w:val="0"/>
      <w:marBottom w:val="0"/>
      <w:divBdr>
        <w:top w:val="none" w:sz="0" w:space="0" w:color="auto"/>
        <w:left w:val="none" w:sz="0" w:space="0" w:color="auto"/>
        <w:bottom w:val="none" w:sz="0" w:space="0" w:color="auto"/>
        <w:right w:val="none" w:sz="0" w:space="0" w:color="auto"/>
      </w:divBdr>
    </w:div>
    <w:div w:id="1007439491">
      <w:bodyDiv w:val="1"/>
      <w:marLeft w:val="0"/>
      <w:marRight w:val="0"/>
      <w:marTop w:val="0"/>
      <w:marBottom w:val="0"/>
      <w:divBdr>
        <w:top w:val="none" w:sz="0" w:space="0" w:color="auto"/>
        <w:left w:val="none" w:sz="0" w:space="0" w:color="auto"/>
        <w:bottom w:val="none" w:sz="0" w:space="0" w:color="auto"/>
        <w:right w:val="none" w:sz="0" w:space="0" w:color="auto"/>
      </w:divBdr>
    </w:div>
    <w:div w:id="1011646435">
      <w:bodyDiv w:val="1"/>
      <w:marLeft w:val="0"/>
      <w:marRight w:val="0"/>
      <w:marTop w:val="0"/>
      <w:marBottom w:val="0"/>
      <w:divBdr>
        <w:top w:val="none" w:sz="0" w:space="0" w:color="auto"/>
        <w:left w:val="none" w:sz="0" w:space="0" w:color="auto"/>
        <w:bottom w:val="none" w:sz="0" w:space="0" w:color="auto"/>
        <w:right w:val="none" w:sz="0" w:space="0" w:color="auto"/>
      </w:divBdr>
    </w:div>
    <w:div w:id="1044325815">
      <w:bodyDiv w:val="1"/>
      <w:marLeft w:val="0"/>
      <w:marRight w:val="0"/>
      <w:marTop w:val="0"/>
      <w:marBottom w:val="0"/>
      <w:divBdr>
        <w:top w:val="none" w:sz="0" w:space="0" w:color="auto"/>
        <w:left w:val="none" w:sz="0" w:space="0" w:color="auto"/>
        <w:bottom w:val="none" w:sz="0" w:space="0" w:color="auto"/>
        <w:right w:val="none" w:sz="0" w:space="0" w:color="auto"/>
      </w:divBdr>
    </w:div>
    <w:div w:id="1069422972">
      <w:bodyDiv w:val="1"/>
      <w:marLeft w:val="0"/>
      <w:marRight w:val="0"/>
      <w:marTop w:val="0"/>
      <w:marBottom w:val="0"/>
      <w:divBdr>
        <w:top w:val="none" w:sz="0" w:space="0" w:color="auto"/>
        <w:left w:val="none" w:sz="0" w:space="0" w:color="auto"/>
        <w:bottom w:val="none" w:sz="0" w:space="0" w:color="auto"/>
        <w:right w:val="none" w:sz="0" w:space="0" w:color="auto"/>
      </w:divBdr>
    </w:div>
    <w:div w:id="1082406842">
      <w:bodyDiv w:val="1"/>
      <w:marLeft w:val="0"/>
      <w:marRight w:val="0"/>
      <w:marTop w:val="0"/>
      <w:marBottom w:val="0"/>
      <w:divBdr>
        <w:top w:val="none" w:sz="0" w:space="0" w:color="auto"/>
        <w:left w:val="none" w:sz="0" w:space="0" w:color="auto"/>
        <w:bottom w:val="none" w:sz="0" w:space="0" w:color="auto"/>
        <w:right w:val="none" w:sz="0" w:space="0" w:color="auto"/>
      </w:divBdr>
    </w:div>
    <w:div w:id="1112481843">
      <w:bodyDiv w:val="1"/>
      <w:marLeft w:val="0"/>
      <w:marRight w:val="0"/>
      <w:marTop w:val="0"/>
      <w:marBottom w:val="0"/>
      <w:divBdr>
        <w:top w:val="none" w:sz="0" w:space="0" w:color="auto"/>
        <w:left w:val="none" w:sz="0" w:space="0" w:color="auto"/>
        <w:bottom w:val="none" w:sz="0" w:space="0" w:color="auto"/>
        <w:right w:val="none" w:sz="0" w:space="0" w:color="auto"/>
      </w:divBdr>
    </w:div>
    <w:div w:id="1123232304">
      <w:bodyDiv w:val="1"/>
      <w:marLeft w:val="0"/>
      <w:marRight w:val="0"/>
      <w:marTop w:val="0"/>
      <w:marBottom w:val="0"/>
      <w:divBdr>
        <w:top w:val="none" w:sz="0" w:space="0" w:color="auto"/>
        <w:left w:val="none" w:sz="0" w:space="0" w:color="auto"/>
        <w:bottom w:val="none" w:sz="0" w:space="0" w:color="auto"/>
        <w:right w:val="none" w:sz="0" w:space="0" w:color="auto"/>
      </w:divBdr>
    </w:div>
    <w:div w:id="1168598454">
      <w:bodyDiv w:val="1"/>
      <w:marLeft w:val="0"/>
      <w:marRight w:val="0"/>
      <w:marTop w:val="0"/>
      <w:marBottom w:val="0"/>
      <w:divBdr>
        <w:top w:val="none" w:sz="0" w:space="0" w:color="auto"/>
        <w:left w:val="none" w:sz="0" w:space="0" w:color="auto"/>
        <w:bottom w:val="none" w:sz="0" w:space="0" w:color="auto"/>
        <w:right w:val="none" w:sz="0" w:space="0" w:color="auto"/>
      </w:divBdr>
    </w:div>
    <w:div w:id="1202866525">
      <w:bodyDiv w:val="1"/>
      <w:marLeft w:val="0"/>
      <w:marRight w:val="0"/>
      <w:marTop w:val="0"/>
      <w:marBottom w:val="0"/>
      <w:divBdr>
        <w:top w:val="none" w:sz="0" w:space="0" w:color="auto"/>
        <w:left w:val="none" w:sz="0" w:space="0" w:color="auto"/>
        <w:bottom w:val="none" w:sz="0" w:space="0" w:color="auto"/>
        <w:right w:val="none" w:sz="0" w:space="0" w:color="auto"/>
      </w:divBdr>
    </w:div>
    <w:div w:id="1297030516">
      <w:bodyDiv w:val="1"/>
      <w:marLeft w:val="0"/>
      <w:marRight w:val="0"/>
      <w:marTop w:val="0"/>
      <w:marBottom w:val="0"/>
      <w:divBdr>
        <w:top w:val="none" w:sz="0" w:space="0" w:color="auto"/>
        <w:left w:val="none" w:sz="0" w:space="0" w:color="auto"/>
        <w:bottom w:val="none" w:sz="0" w:space="0" w:color="auto"/>
        <w:right w:val="none" w:sz="0" w:space="0" w:color="auto"/>
      </w:divBdr>
    </w:div>
    <w:div w:id="1377586616">
      <w:bodyDiv w:val="1"/>
      <w:marLeft w:val="0"/>
      <w:marRight w:val="0"/>
      <w:marTop w:val="0"/>
      <w:marBottom w:val="0"/>
      <w:divBdr>
        <w:top w:val="none" w:sz="0" w:space="0" w:color="auto"/>
        <w:left w:val="none" w:sz="0" w:space="0" w:color="auto"/>
        <w:bottom w:val="none" w:sz="0" w:space="0" w:color="auto"/>
        <w:right w:val="none" w:sz="0" w:space="0" w:color="auto"/>
      </w:divBdr>
    </w:div>
    <w:div w:id="1379624675">
      <w:bodyDiv w:val="1"/>
      <w:marLeft w:val="0"/>
      <w:marRight w:val="0"/>
      <w:marTop w:val="0"/>
      <w:marBottom w:val="0"/>
      <w:divBdr>
        <w:top w:val="none" w:sz="0" w:space="0" w:color="auto"/>
        <w:left w:val="none" w:sz="0" w:space="0" w:color="auto"/>
        <w:bottom w:val="none" w:sz="0" w:space="0" w:color="auto"/>
        <w:right w:val="none" w:sz="0" w:space="0" w:color="auto"/>
      </w:divBdr>
    </w:div>
    <w:div w:id="1389456626">
      <w:bodyDiv w:val="1"/>
      <w:marLeft w:val="0"/>
      <w:marRight w:val="0"/>
      <w:marTop w:val="0"/>
      <w:marBottom w:val="0"/>
      <w:divBdr>
        <w:top w:val="none" w:sz="0" w:space="0" w:color="auto"/>
        <w:left w:val="none" w:sz="0" w:space="0" w:color="auto"/>
        <w:bottom w:val="none" w:sz="0" w:space="0" w:color="auto"/>
        <w:right w:val="none" w:sz="0" w:space="0" w:color="auto"/>
      </w:divBdr>
    </w:div>
    <w:div w:id="1506747946">
      <w:bodyDiv w:val="1"/>
      <w:marLeft w:val="0"/>
      <w:marRight w:val="0"/>
      <w:marTop w:val="0"/>
      <w:marBottom w:val="0"/>
      <w:divBdr>
        <w:top w:val="none" w:sz="0" w:space="0" w:color="auto"/>
        <w:left w:val="none" w:sz="0" w:space="0" w:color="auto"/>
        <w:bottom w:val="none" w:sz="0" w:space="0" w:color="auto"/>
        <w:right w:val="none" w:sz="0" w:space="0" w:color="auto"/>
      </w:divBdr>
      <w:divsChild>
        <w:div w:id="392969413">
          <w:marLeft w:val="288"/>
          <w:marRight w:val="0"/>
          <w:marTop w:val="200"/>
          <w:marBottom w:val="100"/>
          <w:divBdr>
            <w:top w:val="none" w:sz="0" w:space="0" w:color="auto"/>
            <w:left w:val="none" w:sz="0" w:space="0" w:color="auto"/>
            <w:bottom w:val="none" w:sz="0" w:space="0" w:color="auto"/>
            <w:right w:val="none" w:sz="0" w:space="0" w:color="auto"/>
          </w:divBdr>
        </w:div>
      </w:divsChild>
    </w:div>
    <w:div w:id="1523087165">
      <w:bodyDiv w:val="1"/>
      <w:marLeft w:val="0"/>
      <w:marRight w:val="0"/>
      <w:marTop w:val="0"/>
      <w:marBottom w:val="0"/>
      <w:divBdr>
        <w:top w:val="none" w:sz="0" w:space="0" w:color="auto"/>
        <w:left w:val="none" w:sz="0" w:space="0" w:color="auto"/>
        <w:bottom w:val="none" w:sz="0" w:space="0" w:color="auto"/>
        <w:right w:val="none" w:sz="0" w:space="0" w:color="auto"/>
      </w:divBdr>
    </w:div>
    <w:div w:id="1563246708">
      <w:bodyDiv w:val="1"/>
      <w:marLeft w:val="0"/>
      <w:marRight w:val="0"/>
      <w:marTop w:val="0"/>
      <w:marBottom w:val="0"/>
      <w:divBdr>
        <w:top w:val="none" w:sz="0" w:space="0" w:color="auto"/>
        <w:left w:val="none" w:sz="0" w:space="0" w:color="auto"/>
        <w:bottom w:val="none" w:sz="0" w:space="0" w:color="auto"/>
        <w:right w:val="none" w:sz="0" w:space="0" w:color="auto"/>
      </w:divBdr>
    </w:div>
    <w:div w:id="1576432045">
      <w:bodyDiv w:val="1"/>
      <w:marLeft w:val="0"/>
      <w:marRight w:val="0"/>
      <w:marTop w:val="0"/>
      <w:marBottom w:val="0"/>
      <w:divBdr>
        <w:top w:val="none" w:sz="0" w:space="0" w:color="auto"/>
        <w:left w:val="none" w:sz="0" w:space="0" w:color="auto"/>
        <w:bottom w:val="none" w:sz="0" w:space="0" w:color="auto"/>
        <w:right w:val="none" w:sz="0" w:space="0" w:color="auto"/>
      </w:divBdr>
    </w:div>
    <w:div w:id="1599556895">
      <w:bodyDiv w:val="1"/>
      <w:marLeft w:val="0"/>
      <w:marRight w:val="0"/>
      <w:marTop w:val="0"/>
      <w:marBottom w:val="0"/>
      <w:divBdr>
        <w:top w:val="none" w:sz="0" w:space="0" w:color="auto"/>
        <w:left w:val="none" w:sz="0" w:space="0" w:color="auto"/>
        <w:bottom w:val="none" w:sz="0" w:space="0" w:color="auto"/>
        <w:right w:val="none" w:sz="0" w:space="0" w:color="auto"/>
      </w:divBdr>
    </w:div>
    <w:div w:id="1637182665">
      <w:bodyDiv w:val="1"/>
      <w:marLeft w:val="0"/>
      <w:marRight w:val="0"/>
      <w:marTop w:val="0"/>
      <w:marBottom w:val="0"/>
      <w:divBdr>
        <w:top w:val="none" w:sz="0" w:space="0" w:color="auto"/>
        <w:left w:val="none" w:sz="0" w:space="0" w:color="auto"/>
        <w:bottom w:val="none" w:sz="0" w:space="0" w:color="auto"/>
        <w:right w:val="none" w:sz="0" w:space="0" w:color="auto"/>
      </w:divBdr>
    </w:div>
    <w:div w:id="1693413943">
      <w:bodyDiv w:val="1"/>
      <w:marLeft w:val="0"/>
      <w:marRight w:val="0"/>
      <w:marTop w:val="0"/>
      <w:marBottom w:val="0"/>
      <w:divBdr>
        <w:top w:val="none" w:sz="0" w:space="0" w:color="auto"/>
        <w:left w:val="none" w:sz="0" w:space="0" w:color="auto"/>
        <w:bottom w:val="none" w:sz="0" w:space="0" w:color="auto"/>
        <w:right w:val="none" w:sz="0" w:space="0" w:color="auto"/>
      </w:divBdr>
    </w:div>
    <w:div w:id="1731465566">
      <w:bodyDiv w:val="1"/>
      <w:marLeft w:val="0"/>
      <w:marRight w:val="0"/>
      <w:marTop w:val="0"/>
      <w:marBottom w:val="0"/>
      <w:divBdr>
        <w:top w:val="none" w:sz="0" w:space="0" w:color="auto"/>
        <w:left w:val="none" w:sz="0" w:space="0" w:color="auto"/>
        <w:bottom w:val="none" w:sz="0" w:space="0" w:color="auto"/>
        <w:right w:val="none" w:sz="0" w:space="0" w:color="auto"/>
      </w:divBdr>
    </w:div>
    <w:div w:id="1772120240">
      <w:bodyDiv w:val="1"/>
      <w:marLeft w:val="0"/>
      <w:marRight w:val="0"/>
      <w:marTop w:val="0"/>
      <w:marBottom w:val="0"/>
      <w:divBdr>
        <w:top w:val="none" w:sz="0" w:space="0" w:color="auto"/>
        <w:left w:val="none" w:sz="0" w:space="0" w:color="auto"/>
        <w:bottom w:val="none" w:sz="0" w:space="0" w:color="auto"/>
        <w:right w:val="none" w:sz="0" w:space="0" w:color="auto"/>
      </w:divBdr>
    </w:div>
    <w:div w:id="1782921545">
      <w:bodyDiv w:val="1"/>
      <w:marLeft w:val="0"/>
      <w:marRight w:val="0"/>
      <w:marTop w:val="0"/>
      <w:marBottom w:val="0"/>
      <w:divBdr>
        <w:top w:val="none" w:sz="0" w:space="0" w:color="auto"/>
        <w:left w:val="none" w:sz="0" w:space="0" w:color="auto"/>
        <w:bottom w:val="none" w:sz="0" w:space="0" w:color="auto"/>
        <w:right w:val="none" w:sz="0" w:space="0" w:color="auto"/>
      </w:divBdr>
    </w:div>
    <w:div w:id="1782995325">
      <w:bodyDiv w:val="1"/>
      <w:marLeft w:val="0"/>
      <w:marRight w:val="0"/>
      <w:marTop w:val="0"/>
      <w:marBottom w:val="0"/>
      <w:divBdr>
        <w:top w:val="none" w:sz="0" w:space="0" w:color="auto"/>
        <w:left w:val="none" w:sz="0" w:space="0" w:color="auto"/>
        <w:bottom w:val="none" w:sz="0" w:space="0" w:color="auto"/>
        <w:right w:val="none" w:sz="0" w:space="0" w:color="auto"/>
      </w:divBdr>
    </w:div>
    <w:div w:id="1791319762">
      <w:bodyDiv w:val="1"/>
      <w:marLeft w:val="0"/>
      <w:marRight w:val="0"/>
      <w:marTop w:val="0"/>
      <w:marBottom w:val="0"/>
      <w:divBdr>
        <w:top w:val="none" w:sz="0" w:space="0" w:color="auto"/>
        <w:left w:val="none" w:sz="0" w:space="0" w:color="auto"/>
        <w:bottom w:val="none" w:sz="0" w:space="0" w:color="auto"/>
        <w:right w:val="none" w:sz="0" w:space="0" w:color="auto"/>
      </w:divBdr>
    </w:div>
    <w:div w:id="1805155003">
      <w:bodyDiv w:val="1"/>
      <w:marLeft w:val="0"/>
      <w:marRight w:val="0"/>
      <w:marTop w:val="0"/>
      <w:marBottom w:val="0"/>
      <w:divBdr>
        <w:top w:val="none" w:sz="0" w:space="0" w:color="auto"/>
        <w:left w:val="none" w:sz="0" w:space="0" w:color="auto"/>
        <w:bottom w:val="none" w:sz="0" w:space="0" w:color="auto"/>
        <w:right w:val="none" w:sz="0" w:space="0" w:color="auto"/>
      </w:divBdr>
    </w:div>
    <w:div w:id="1829318615">
      <w:bodyDiv w:val="1"/>
      <w:marLeft w:val="0"/>
      <w:marRight w:val="0"/>
      <w:marTop w:val="0"/>
      <w:marBottom w:val="0"/>
      <w:divBdr>
        <w:top w:val="none" w:sz="0" w:space="0" w:color="auto"/>
        <w:left w:val="none" w:sz="0" w:space="0" w:color="auto"/>
        <w:bottom w:val="none" w:sz="0" w:space="0" w:color="auto"/>
        <w:right w:val="none" w:sz="0" w:space="0" w:color="auto"/>
      </w:divBdr>
    </w:div>
    <w:div w:id="1837960777">
      <w:bodyDiv w:val="1"/>
      <w:marLeft w:val="0"/>
      <w:marRight w:val="0"/>
      <w:marTop w:val="0"/>
      <w:marBottom w:val="0"/>
      <w:divBdr>
        <w:top w:val="none" w:sz="0" w:space="0" w:color="auto"/>
        <w:left w:val="none" w:sz="0" w:space="0" w:color="auto"/>
        <w:bottom w:val="none" w:sz="0" w:space="0" w:color="auto"/>
        <w:right w:val="none" w:sz="0" w:space="0" w:color="auto"/>
      </w:divBdr>
    </w:div>
    <w:div w:id="1922828877">
      <w:bodyDiv w:val="1"/>
      <w:marLeft w:val="0"/>
      <w:marRight w:val="0"/>
      <w:marTop w:val="0"/>
      <w:marBottom w:val="0"/>
      <w:divBdr>
        <w:top w:val="none" w:sz="0" w:space="0" w:color="auto"/>
        <w:left w:val="none" w:sz="0" w:space="0" w:color="auto"/>
        <w:bottom w:val="none" w:sz="0" w:space="0" w:color="auto"/>
        <w:right w:val="none" w:sz="0" w:space="0" w:color="auto"/>
      </w:divBdr>
    </w:div>
    <w:div w:id="1946497413">
      <w:bodyDiv w:val="1"/>
      <w:marLeft w:val="0"/>
      <w:marRight w:val="0"/>
      <w:marTop w:val="0"/>
      <w:marBottom w:val="0"/>
      <w:divBdr>
        <w:top w:val="none" w:sz="0" w:space="0" w:color="auto"/>
        <w:left w:val="none" w:sz="0" w:space="0" w:color="auto"/>
        <w:bottom w:val="none" w:sz="0" w:space="0" w:color="auto"/>
        <w:right w:val="none" w:sz="0" w:space="0" w:color="auto"/>
      </w:divBdr>
    </w:div>
    <w:div w:id="2046370717">
      <w:bodyDiv w:val="1"/>
      <w:marLeft w:val="0"/>
      <w:marRight w:val="0"/>
      <w:marTop w:val="0"/>
      <w:marBottom w:val="0"/>
      <w:divBdr>
        <w:top w:val="none" w:sz="0" w:space="0" w:color="auto"/>
        <w:left w:val="none" w:sz="0" w:space="0" w:color="auto"/>
        <w:bottom w:val="none" w:sz="0" w:space="0" w:color="auto"/>
        <w:right w:val="none" w:sz="0" w:space="0" w:color="auto"/>
      </w:divBdr>
    </w:div>
    <w:div w:id="2051492600">
      <w:bodyDiv w:val="1"/>
      <w:marLeft w:val="0"/>
      <w:marRight w:val="0"/>
      <w:marTop w:val="0"/>
      <w:marBottom w:val="0"/>
      <w:divBdr>
        <w:top w:val="none" w:sz="0" w:space="0" w:color="auto"/>
        <w:left w:val="none" w:sz="0" w:space="0" w:color="auto"/>
        <w:bottom w:val="none" w:sz="0" w:space="0" w:color="auto"/>
        <w:right w:val="none" w:sz="0" w:space="0" w:color="auto"/>
      </w:divBdr>
    </w:div>
    <w:div w:id="2077895311">
      <w:bodyDiv w:val="1"/>
      <w:marLeft w:val="0"/>
      <w:marRight w:val="0"/>
      <w:marTop w:val="0"/>
      <w:marBottom w:val="0"/>
      <w:divBdr>
        <w:top w:val="none" w:sz="0" w:space="0" w:color="auto"/>
        <w:left w:val="none" w:sz="0" w:space="0" w:color="auto"/>
        <w:bottom w:val="none" w:sz="0" w:space="0" w:color="auto"/>
        <w:right w:val="none" w:sz="0" w:space="0" w:color="auto"/>
      </w:divBdr>
    </w:div>
    <w:div w:id="21374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powergroup.es/estudios/desajuste-de-talento-202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an.gomez@manpowergroup.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la.diaz@manpowergroup.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unicacion.manpowergroup@havas.com" TargetMode="External"/><Relationship Id="rId4" Type="http://schemas.openxmlformats.org/officeDocument/2006/relationships/settings" Target="settings.xml"/><Relationship Id="rId9" Type="http://schemas.openxmlformats.org/officeDocument/2006/relationships/hyperlink" Target="http://www.manpowergroup.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51664-C86E-4AA0-BC64-DDE645A0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698</Words>
  <Characters>3843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Díaz Curiel (Content Specialist)</dc:creator>
  <cp:keywords/>
  <dc:description/>
  <cp:lastModifiedBy>Vanesa Miranda</cp:lastModifiedBy>
  <cp:revision>4</cp:revision>
  <cp:lastPrinted>2022-12-19T17:21:00Z</cp:lastPrinted>
  <dcterms:created xsi:type="dcterms:W3CDTF">2026-07-27T11:21:00Z</dcterms:created>
  <dcterms:modified xsi:type="dcterms:W3CDTF">2026-09-01T07:49:00Z</dcterms:modified>
</cp:coreProperties>
</file>