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5BE3" w14:textId="3CC72589" w:rsidR="003436D7" w:rsidRDefault="003436D7" w:rsidP="001828BD">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bookmarkStart w:id="0" w:name="_Hlk90222956"/>
      <w:bookmarkStart w:id="1" w:name="_Hlk90207554"/>
      <w:r w:rsidRPr="003436D7">
        <w:rPr>
          <w:rFonts w:ascii="Arial" w:eastAsia="Arial" w:hAnsi="Arial" w:cs="Arial"/>
          <w:b/>
          <w:color w:val="000000"/>
          <w:sz w:val="20"/>
          <w:szCs w:val="20"/>
          <w:u w:val="single"/>
        </w:rPr>
        <w:t xml:space="preserve">Estudio de Proyección de Empleo de ManpowerGroup para </w:t>
      </w:r>
      <w:r w:rsidR="00CC3472">
        <w:rPr>
          <w:rFonts w:ascii="Arial" w:eastAsia="Arial" w:hAnsi="Arial" w:cs="Arial"/>
          <w:b/>
          <w:color w:val="000000"/>
          <w:sz w:val="20"/>
          <w:szCs w:val="20"/>
          <w:u w:val="single"/>
        </w:rPr>
        <w:t>enero</w:t>
      </w:r>
      <w:r w:rsidRPr="003436D7">
        <w:rPr>
          <w:rFonts w:ascii="Arial" w:eastAsia="Arial" w:hAnsi="Arial" w:cs="Arial"/>
          <w:b/>
          <w:color w:val="000000"/>
          <w:sz w:val="20"/>
          <w:szCs w:val="20"/>
          <w:u w:val="single"/>
        </w:rPr>
        <w:t>-</w:t>
      </w:r>
      <w:r w:rsidR="00CC3472">
        <w:rPr>
          <w:rFonts w:ascii="Arial" w:eastAsia="Arial" w:hAnsi="Arial" w:cs="Arial"/>
          <w:b/>
          <w:color w:val="000000"/>
          <w:sz w:val="20"/>
          <w:szCs w:val="20"/>
          <w:u w:val="single"/>
        </w:rPr>
        <w:t>marzo</w:t>
      </w:r>
      <w:r w:rsidR="00CC3472" w:rsidRPr="003436D7">
        <w:rPr>
          <w:rFonts w:ascii="Arial" w:eastAsia="Arial" w:hAnsi="Arial" w:cs="Arial"/>
          <w:b/>
          <w:color w:val="000000"/>
          <w:sz w:val="20"/>
          <w:szCs w:val="20"/>
          <w:u w:val="single"/>
        </w:rPr>
        <w:t xml:space="preserve"> </w:t>
      </w:r>
      <w:r w:rsidR="00CC3472">
        <w:rPr>
          <w:rFonts w:ascii="Arial" w:eastAsia="Arial" w:hAnsi="Arial" w:cs="Arial"/>
          <w:b/>
          <w:color w:val="000000"/>
          <w:sz w:val="20"/>
          <w:szCs w:val="20"/>
          <w:u w:val="single"/>
        </w:rPr>
        <w:t>2025</w:t>
      </w:r>
    </w:p>
    <w:p w14:paraId="6E076C19" w14:textId="77777777" w:rsidR="002B2305" w:rsidRPr="003436D7" w:rsidRDefault="002B2305" w:rsidP="001828BD">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6951F4A4" w14:textId="2754ED48" w:rsidR="00F6573D" w:rsidRDefault="0098175B" w:rsidP="00FE0A8D">
      <w:pPr>
        <w:spacing w:before="120" w:line="288" w:lineRule="auto"/>
        <w:jc w:val="center"/>
        <w:rPr>
          <w:rFonts w:ascii="Arial" w:eastAsia="Arial" w:hAnsi="Arial" w:cs="Arial"/>
          <w:b/>
          <w:bCs/>
          <w:sz w:val="36"/>
          <w:szCs w:val="36"/>
        </w:rPr>
      </w:pPr>
      <w:bookmarkStart w:id="2" w:name="_Hlk113557077"/>
      <w:r>
        <w:rPr>
          <w:rFonts w:ascii="Arial" w:eastAsia="Arial" w:hAnsi="Arial" w:cs="Arial"/>
          <w:b/>
          <w:bCs/>
          <w:sz w:val="36"/>
          <w:szCs w:val="36"/>
        </w:rPr>
        <w:t xml:space="preserve">4 de cada 10 </w:t>
      </w:r>
      <w:r w:rsidR="00F6573D">
        <w:rPr>
          <w:rFonts w:ascii="Arial" w:eastAsia="Arial" w:hAnsi="Arial" w:cs="Arial"/>
          <w:b/>
          <w:bCs/>
          <w:sz w:val="36"/>
          <w:szCs w:val="36"/>
        </w:rPr>
        <w:t xml:space="preserve">empresas del sector logístico </w:t>
      </w:r>
      <w:r>
        <w:rPr>
          <w:rFonts w:ascii="Arial" w:eastAsia="Arial" w:hAnsi="Arial" w:cs="Arial"/>
          <w:b/>
          <w:bCs/>
          <w:sz w:val="36"/>
          <w:szCs w:val="36"/>
        </w:rPr>
        <w:t xml:space="preserve">tienen previsto contratar en el inicio de </w:t>
      </w:r>
      <w:r w:rsidR="00F6573D">
        <w:rPr>
          <w:rFonts w:ascii="Arial" w:eastAsia="Arial" w:hAnsi="Arial" w:cs="Arial"/>
          <w:b/>
          <w:bCs/>
          <w:sz w:val="36"/>
          <w:szCs w:val="36"/>
        </w:rPr>
        <w:t>2025</w:t>
      </w:r>
    </w:p>
    <w:p w14:paraId="16E0517D" w14:textId="61D9FE2E" w:rsidR="00C4624D" w:rsidRPr="00C4624D" w:rsidRDefault="00C4624D" w:rsidP="00C4624D">
      <w:pPr>
        <w:spacing w:before="120" w:line="288" w:lineRule="auto"/>
        <w:jc w:val="both"/>
        <w:rPr>
          <w:rFonts w:ascii="Arial" w:eastAsia="Arial" w:hAnsi="Arial" w:cs="Arial"/>
          <w:b/>
          <w:sz w:val="23"/>
          <w:szCs w:val="23"/>
        </w:rPr>
      </w:pPr>
    </w:p>
    <w:p w14:paraId="7EEE1353" w14:textId="2B2E8B71" w:rsidR="00F6573D" w:rsidRPr="00C4624D" w:rsidRDefault="00F6573D" w:rsidP="00C4624D">
      <w:pPr>
        <w:pStyle w:val="Prrafodelista"/>
        <w:numPr>
          <w:ilvl w:val="0"/>
          <w:numId w:val="7"/>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 xml:space="preserve">Transporte, logística y automoción recupera 11 puntos respecto al último trimestre del año y registra unas </w:t>
      </w:r>
      <w:r w:rsidR="004472B2">
        <w:rPr>
          <w:rFonts w:ascii="Arial" w:eastAsia="Arial" w:hAnsi="Arial" w:cs="Arial"/>
          <w:b/>
          <w:sz w:val="23"/>
          <w:szCs w:val="23"/>
        </w:rPr>
        <w:t>expectativas</w:t>
      </w:r>
      <w:r>
        <w:rPr>
          <w:rFonts w:ascii="Arial" w:eastAsia="Arial" w:hAnsi="Arial" w:cs="Arial"/>
          <w:b/>
          <w:sz w:val="23"/>
          <w:szCs w:val="23"/>
        </w:rPr>
        <w:t xml:space="preserve"> </w:t>
      </w:r>
      <w:r w:rsidR="0098175B">
        <w:rPr>
          <w:rFonts w:ascii="Arial" w:eastAsia="Arial" w:hAnsi="Arial" w:cs="Arial"/>
          <w:b/>
          <w:sz w:val="23"/>
          <w:szCs w:val="23"/>
        </w:rPr>
        <w:t xml:space="preserve">netas </w:t>
      </w:r>
      <w:r>
        <w:rPr>
          <w:rFonts w:ascii="Arial" w:eastAsia="Arial" w:hAnsi="Arial" w:cs="Arial"/>
          <w:b/>
          <w:sz w:val="23"/>
          <w:szCs w:val="23"/>
        </w:rPr>
        <w:t>de contratación del 20%</w:t>
      </w:r>
      <w:r w:rsidR="0098175B">
        <w:rPr>
          <w:rFonts w:ascii="Arial" w:eastAsia="Arial" w:hAnsi="Arial" w:cs="Arial"/>
          <w:b/>
          <w:sz w:val="23"/>
          <w:szCs w:val="23"/>
        </w:rPr>
        <w:t xml:space="preserve"> para el periodo enero-marzo de 2025.</w:t>
      </w:r>
    </w:p>
    <w:p w14:paraId="7C89A9DD" w14:textId="2157D17E" w:rsidR="00F6573D" w:rsidRPr="00C4624D" w:rsidRDefault="00F6573D" w:rsidP="00C4624D">
      <w:pPr>
        <w:pStyle w:val="Prrafodelista"/>
        <w:numPr>
          <w:ilvl w:val="0"/>
          <w:numId w:val="7"/>
        </w:numPr>
        <w:spacing w:before="120" w:line="288" w:lineRule="auto"/>
        <w:contextualSpacing w:val="0"/>
        <w:jc w:val="both"/>
        <w:rPr>
          <w:rFonts w:ascii="Arial" w:eastAsia="Arial" w:hAnsi="Arial" w:cs="Arial"/>
          <w:bCs/>
          <w:sz w:val="22"/>
          <w:szCs w:val="22"/>
        </w:rPr>
      </w:pPr>
      <w:r>
        <w:rPr>
          <w:rFonts w:ascii="Arial" w:eastAsia="Arial" w:hAnsi="Arial" w:cs="Arial"/>
          <w:b/>
          <w:sz w:val="23"/>
          <w:szCs w:val="23"/>
        </w:rPr>
        <w:t>El sector tecnológico se posiciona como el más optimista 10 puntos por encima de la media nacional</w:t>
      </w:r>
      <w:r w:rsidR="009C5491">
        <w:rPr>
          <w:rFonts w:ascii="Arial" w:eastAsia="Arial" w:hAnsi="Arial" w:cs="Arial"/>
          <w:b/>
          <w:sz w:val="23"/>
          <w:szCs w:val="23"/>
        </w:rPr>
        <w:t xml:space="preserve">, </w:t>
      </w:r>
      <w:r>
        <w:rPr>
          <w:rFonts w:ascii="Arial" w:eastAsia="Arial" w:hAnsi="Arial" w:cs="Arial"/>
          <w:b/>
          <w:sz w:val="23"/>
          <w:szCs w:val="23"/>
        </w:rPr>
        <w:t>con unas previsiones del 27%.</w:t>
      </w:r>
    </w:p>
    <w:p w14:paraId="34916227" w14:textId="77777777" w:rsidR="0098175B" w:rsidRPr="001828BD" w:rsidRDefault="0098175B" w:rsidP="0098175B">
      <w:pPr>
        <w:pStyle w:val="Prrafodelista"/>
        <w:numPr>
          <w:ilvl w:val="0"/>
          <w:numId w:val="7"/>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En el lado opuesto de la clasificación se sitúan las compañías de Energía y suministros con unas expectativas de contratación del 2%.</w:t>
      </w:r>
    </w:p>
    <w:p w14:paraId="4FB7BB41" w14:textId="77777777" w:rsidR="00700FE8" w:rsidRPr="00F12D89" w:rsidRDefault="00700FE8" w:rsidP="001828BD">
      <w:pPr>
        <w:spacing w:before="120" w:line="288" w:lineRule="auto"/>
        <w:jc w:val="both"/>
        <w:rPr>
          <w:rFonts w:ascii="Arial" w:eastAsia="Arial" w:hAnsi="Arial" w:cs="Arial"/>
          <w:b/>
          <w:sz w:val="22"/>
          <w:szCs w:val="22"/>
        </w:rPr>
      </w:pPr>
    </w:p>
    <w:bookmarkEnd w:id="2"/>
    <w:p w14:paraId="6782B3E9" w14:textId="152F80F7" w:rsidR="00F6573D" w:rsidRDefault="00196895" w:rsidP="001828BD">
      <w:pPr>
        <w:spacing w:before="120" w:line="288" w:lineRule="auto"/>
        <w:jc w:val="both"/>
        <w:rPr>
          <w:rFonts w:ascii="Arial" w:eastAsia="Arial" w:hAnsi="Arial" w:cs="Arial"/>
          <w:bCs/>
          <w:sz w:val="22"/>
          <w:szCs w:val="22"/>
        </w:rPr>
      </w:pPr>
      <w:r w:rsidRPr="00584891">
        <w:rPr>
          <w:rFonts w:ascii="Arial" w:eastAsia="Arial" w:hAnsi="Arial" w:cs="Arial"/>
          <w:b/>
          <w:sz w:val="22"/>
          <w:szCs w:val="22"/>
        </w:rPr>
        <w:t xml:space="preserve">Madrid, </w:t>
      </w:r>
      <w:r w:rsidR="00F432F1">
        <w:rPr>
          <w:rFonts w:ascii="Arial" w:eastAsia="Arial" w:hAnsi="Arial" w:cs="Arial"/>
          <w:b/>
          <w:sz w:val="22"/>
          <w:szCs w:val="22"/>
        </w:rPr>
        <w:t>17</w:t>
      </w:r>
      <w:r w:rsidR="00D7168F">
        <w:rPr>
          <w:rFonts w:ascii="Arial" w:eastAsia="Arial" w:hAnsi="Arial" w:cs="Arial"/>
          <w:b/>
          <w:sz w:val="22"/>
          <w:szCs w:val="22"/>
        </w:rPr>
        <w:t xml:space="preserve"> </w:t>
      </w:r>
      <w:r w:rsidRPr="00584891">
        <w:rPr>
          <w:rFonts w:ascii="Arial" w:eastAsia="Arial" w:hAnsi="Arial" w:cs="Arial"/>
          <w:b/>
          <w:sz w:val="22"/>
          <w:szCs w:val="22"/>
        </w:rPr>
        <w:t xml:space="preserve">de </w:t>
      </w:r>
      <w:r w:rsidR="00D7168F">
        <w:rPr>
          <w:rFonts w:ascii="Arial" w:eastAsia="Arial" w:hAnsi="Arial" w:cs="Arial"/>
          <w:b/>
          <w:sz w:val="22"/>
          <w:szCs w:val="22"/>
        </w:rPr>
        <w:t>diciembre</w:t>
      </w:r>
      <w:r w:rsidR="00D7168F" w:rsidRPr="00584891">
        <w:rPr>
          <w:rFonts w:ascii="Arial" w:eastAsia="Arial" w:hAnsi="Arial" w:cs="Arial"/>
          <w:b/>
          <w:sz w:val="22"/>
          <w:szCs w:val="22"/>
        </w:rPr>
        <w:t xml:space="preserve"> </w:t>
      </w:r>
      <w:r w:rsidRPr="00584891">
        <w:rPr>
          <w:rFonts w:ascii="Arial" w:eastAsia="Arial" w:hAnsi="Arial" w:cs="Arial"/>
          <w:b/>
          <w:sz w:val="22"/>
          <w:szCs w:val="22"/>
        </w:rPr>
        <w:t>de 2024.-</w:t>
      </w:r>
      <w:bookmarkStart w:id="3" w:name="_Hlk113557102"/>
      <w:r w:rsidRPr="00584891">
        <w:rPr>
          <w:rFonts w:ascii="Arial" w:eastAsia="Arial" w:hAnsi="Arial" w:cs="Arial"/>
          <w:b/>
          <w:sz w:val="22"/>
          <w:szCs w:val="22"/>
        </w:rPr>
        <w:t xml:space="preserve"> </w:t>
      </w:r>
      <w:bookmarkStart w:id="4" w:name="_Hlk137140302"/>
      <w:r w:rsidR="00F6573D">
        <w:rPr>
          <w:rFonts w:ascii="Arial" w:eastAsia="Arial" w:hAnsi="Arial" w:cs="Arial"/>
          <w:bCs/>
          <w:sz w:val="22"/>
          <w:szCs w:val="22"/>
        </w:rPr>
        <w:t>Según el último Estudio de Proyección de Empleo de ManpowerGroup, las compañías de</w:t>
      </w:r>
      <w:r w:rsidR="0098175B">
        <w:rPr>
          <w:rFonts w:ascii="Arial" w:eastAsia="Arial" w:hAnsi="Arial" w:cs="Arial"/>
          <w:bCs/>
          <w:sz w:val="22"/>
          <w:szCs w:val="22"/>
        </w:rPr>
        <w:t xml:space="preserve"> </w:t>
      </w:r>
      <w:r w:rsidR="00F6573D">
        <w:rPr>
          <w:rFonts w:ascii="Arial" w:eastAsia="Arial" w:hAnsi="Arial" w:cs="Arial"/>
          <w:bCs/>
          <w:sz w:val="22"/>
          <w:szCs w:val="22"/>
        </w:rPr>
        <w:t xml:space="preserve">Transporte, logística y automoción inician el año con unas </w:t>
      </w:r>
      <w:r w:rsidR="0098175B">
        <w:rPr>
          <w:rFonts w:ascii="Arial" w:eastAsia="Arial" w:hAnsi="Arial" w:cs="Arial"/>
          <w:bCs/>
          <w:sz w:val="22"/>
          <w:szCs w:val="22"/>
        </w:rPr>
        <w:t xml:space="preserve">expectativas netas </w:t>
      </w:r>
      <w:r w:rsidR="00F6573D">
        <w:rPr>
          <w:rFonts w:ascii="Arial" w:eastAsia="Arial" w:hAnsi="Arial" w:cs="Arial"/>
          <w:bCs/>
          <w:sz w:val="22"/>
          <w:szCs w:val="22"/>
        </w:rPr>
        <w:t xml:space="preserve">de contratación del 20%, situándose como </w:t>
      </w:r>
      <w:r w:rsidR="0043179C">
        <w:rPr>
          <w:rFonts w:ascii="Arial" w:eastAsia="Arial" w:hAnsi="Arial" w:cs="Arial"/>
          <w:bCs/>
          <w:sz w:val="22"/>
          <w:szCs w:val="22"/>
        </w:rPr>
        <w:t xml:space="preserve">uno de los más </w:t>
      </w:r>
      <w:r w:rsidR="004472B2">
        <w:rPr>
          <w:rFonts w:ascii="Arial" w:eastAsia="Arial" w:hAnsi="Arial" w:cs="Arial"/>
          <w:bCs/>
          <w:sz w:val="22"/>
          <w:szCs w:val="22"/>
        </w:rPr>
        <w:t>optimistas</w:t>
      </w:r>
      <w:r w:rsidR="0043179C">
        <w:rPr>
          <w:rFonts w:ascii="Arial" w:eastAsia="Arial" w:hAnsi="Arial" w:cs="Arial"/>
          <w:bCs/>
          <w:sz w:val="22"/>
          <w:szCs w:val="22"/>
        </w:rPr>
        <w:t xml:space="preserve">. Esta cifra supone un crecimiento de 11 puntos respecto al último trimestre de 2024, 3 </w:t>
      </w:r>
      <w:r w:rsidR="0098175B">
        <w:rPr>
          <w:rFonts w:ascii="Arial" w:eastAsia="Arial" w:hAnsi="Arial" w:cs="Arial"/>
          <w:bCs/>
          <w:sz w:val="22"/>
          <w:szCs w:val="22"/>
        </w:rPr>
        <w:t xml:space="preserve">puntos </w:t>
      </w:r>
      <w:r w:rsidR="0043179C">
        <w:rPr>
          <w:rFonts w:ascii="Arial" w:eastAsia="Arial" w:hAnsi="Arial" w:cs="Arial"/>
          <w:bCs/>
          <w:sz w:val="22"/>
          <w:szCs w:val="22"/>
        </w:rPr>
        <w:t>por encima de la media nacional (17%),</w:t>
      </w:r>
      <w:r w:rsidR="0098175B">
        <w:rPr>
          <w:rFonts w:ascii="Arial" w:eastAsia="Arial" w:hAnsi="Arial" w:cs="Arial"/>
          <w:bCs/>
          <w:sz w:val="22"/>
          <w:szCs w:val="22"/>
        </w:rPr>
        <w:t xml:space="preserve"> aunque supone </w:t>
      </w:r>
      <w:r w:rsidR="0043179C">
        <w:rPr>
          <w:rFonts w:ascii="Arial" w:eastAsia="Arial" w:hAnsi="Arial" w:cs="Arial"/>
          <w:bCs/>
          <w:sz w:val="22"/>
          <w:szCs w:val="22"/>
        </w:rPr>
        <w:t xml:space="preserve">una caída de 6 </w:t>
      </w:r>
      <w:r w:rsidR="0098175B">
        <w:rPr>
          <w:rFonts w:ascii="Arial" w:eastAsia="Arial" w:hAnsi="Arial" w:cs="Arial"/>
          <w:bCs/>
          <w:sz w:val="22"/>
          <w:szCs w:val="22"/>
        </w:rPr>
        <w:t xml:space="preserve">puntos </w:t>
      </w:r>
      <w:r w:rsidR="0043179C">
        <w:rPr>
          <w:rFonts w:ascii="Arial" w:eastAsia="Arial" w:hAnsi="Arial" w:cs="Arial"/>
          <w:bCs/>
          <w:sz w:val="22"/>
          <w:szCs w:val="22"/>
        </w:rPr>
        <w:t>en la comparativa interanual.</w:t>
      </w:r>
    </w:p>
    <w:p w14:paraId="11814368" w14:textId="66887301" w:rsidR="0043179C" w:rsidRPr="003436D7" w:rsidRDefault="0098175B" w:rsidP="001828BD">
      <w:pPr>
        <w:spacing w:before="120" w:line="288" w:lineRule="auto"/>
        <w:jc w:val="both"/>
        <w:rPr>
          <w:rFonts w:ascii="Arial" w:eastAsia="Arial" w:hAnsi="Arial" w:cs="Arial"/>
          <w:bCs/>
          <w:sz w:val="22"/>
          <w:szCs w:val="22"/>
        </w:rPr>
      </w:pPr>
      <w:r>
        <w:rPr>
          <w:rFonts w:ascii="Arial" w:eastAsia="Arial" w:hAnsi="Arial" w:cs="Arial"/>
          <w:bCs/>
          <w:sz w:val="22"/>
          <w:szCs w:val="22"/>
        </w:rPr>
        <w:t>E</w:t>
      </w:r>
      <w:r w:rsidR="0043179C">
        <w:rPr>
          <w:rFonts w:ascii="Arial" w:eastAsia="Arial" w:hAnsi="Arial" w:cs="Arial"/>
          <w:bCs/>
          <w:sz w:val="22"/>
          <w:szCs w:val="22"/>
        </w:rPr>
        <w:t>n</w:t>
      </w:r>
      <w:r w:rsidR="009C5491">
        <w:rPr>
          <w:rFonts w:ascii="Arial" w:eastAsia="Arial" w:hAnsi="Arial" w:cs="Arial"/>
          <w:bCs/>
          <w:sz w:val="22"/>
          <w:szCs w:val="22"/>
        </w:rPr>
        <w:t>tre</w:t>
      </w:r>
      <w:r w:rsidR="0043179C">
        <w:rPr>
          <w:rFonts w:ascii="Arial" w:eastAsia="Arial" w:hAnsi="Arial" w:cs="Arial"/>
          <w:bCs/>
          <w:sz w:val="22"/>
          <w:szCs w:val="22"/>
        </w:rPr>
        <w:t xml:space="preserve"> los meses </w:t>
      </w:r>
      <w:r w:rsidR="009C5491">
        <w:rPr>
          <w:rFonts w:ascii="Arial" w:eastAsia="Arial" w:hAnsi="Arial" w:cs="Arial"/>
          <w:bCs/>
          <w:sz w:val="22"/>
          <w:szCs w:val="22"/>
        </w:rPr>
        <w:t>de</w:t>
      </w:r>
      <w:r w:rsidR="0043179C">
        <w:rPr>
          <w:rFonts w:ascii="Arial" w:eastAsia="Arial" w:hAnsi="Arial" w:cs="Arial"/>
          <w:bCs/>
          <w:sz w:val="22"/>
          <w:szCs w:val="22"/>
        </w:rPr>
        <w:t xml:space="preserve"> enero y marzo, un 40% de las empresas del sector tiene la intención de aumentar sus plantillas, mientras que casi la mitad (44%) cree que las mantendrá y solo un 16% prevé reducciones en sus equipos.</w:t>
      </w:r>
    </w:p>
    <w:p w14:paraId="6B5788E4" w14:textId="3EDC4A4D" w:rsidR="0043179C" w:rsidRDefault="004472B2" w:rsidP="001828BD">
      <w:pPr>
        <w:spacing w:before="120" w:line="288" w:lineRule="auto"/>
        <w:jc w:val="both"/>
        <w:rPr>
          <w:rFonts w:ascii="Arial" w:eastAsia="Arial" w:hAnsi="Arial" w:cs="Arial"/>
          <w:bCs/>
          <w:i/>
          <w:iCs/>
          <w:sz w:val="22"/>
          <w:szCs w:val="22"/>
        </w:rPr>
      </w:pPr>
      <w:r w:rsidRPr="0065467D">
        <w:rPr>
          <w:rFonts w:ascii="Arial" w:eastAsia="Arial" w:hAnsi="Arial" w:cs="Arial"/>
          <w:bCs/>
          <w:sz w:val="22"/>
          <w:szCs w:val="22"/>
        </w:rPr>
        <w:t>E</w:t>
      </w:r>
      <w:r>
        <w:rPr>
          <w:rFonts w:ascii="Arial" w:eastAsia="Arial" w:hAnsi="Arial" w:cs="Arial"/>
          <w:bCs/>
          <w:sz w:val="22"/>
          <w:szCs w:val="22"/>
        </w:rPr>
        <w:t xml:space="preserve">n este sentido, </w:t>
      </w:r>
      <w:r>
        <w:rPr>
          <w:rFonts w:ascii="Arial" w:eastAsia="Arial" w:hAnsi="Arial" w:cs="Arial"/>
          <w:b/>
          <w:bCs/>
          <w:sz w:val="22"/>
          <w:szCs w:val="22"/>
        </w:rPr>
        <w:t>Antonio Holgado</w:t>
      </w:r>
      <w:r w:rsidRPr="00FB3158">
        <w:rPr>
          <w:rFonts w:ascii="Arial" w:eastAsia="Arial" w:hAnsi="Arial" w:cs="Arial"/>
          <w:b/>
          <w:bCs/>
          <w:sz w:val="22"/>
          <w:szCs w:val="22"/>
        </w:rPr>
        <w:t xml:space="preserve">, </w:t>
      </w:r>
      <w:r>
        <w:rPr>
          <w:rFonts w:ascii="Arial" w:eastAsia="Arial" w:hAnsi="Arial" w:cs="Arial"/>
          <w:b/>
          <w:bCs/>
          <w:sz w:val="22"/>
          <w:szCs w:val="22"/>
        </w:rPr>
        <w:t>d</w:t>
      </w:r>
      <w:r w:rsidRPr="00815B79">
        <w:rPr>
          <w:rFonts w:ascii="Arial" w:eastAsia="Arial" w:hAnsi="Arial" w:cs="Arial"/>
          <w:b/>
          <w:bCs/>
          <w:sz w:val="22"/>
          <w:szCs w:val="22"/>
        </w:rPr>
        <w:t xml:space="preserve">irector </w:t>
      </w:r>
      <w:r>
        <w:rPr>
          <w:rFonts w:ascii="Arial" w:eastAsia="Arial" w:hAnsi="Arial" w:cs="Arial"/>
          <w:b/>
          <w:bCs/>
          <w:sz w:val="22"/>
          <w:szCs w:val="22"/>
        </w:rPr>
        <w:t>c</w:t>
      </w:r>
      <w:r w:rsidRPr="00815B79">
        <w:rPr>
          <w:rFonts w:ascii="Arial" w:eastAsia="Arial" w:hAnsi="Arial" w:cs="Arial"/>
          <w:b/>
          <w:bCs/>
          <w:sz w:val="22"/>
          <w:szCs w:val="22"/>
        </w:rPr>
        <w:t xml:space="preserve">orporativo </w:t>
      </w:r>
      <w:r>
        <w:rPr>
          <w:rFonts w:ascii="Arial" w:eastAsia="Arial" w:hAnsi="Arial" w:cs="Arial"/>
          <w:b/>
          <w:bCs/>
          <w:sz w:val="22"/>
          <w:szCs w:val="22"/>
        </w:rPr>
        <w:t xml:space="preserve">de </w:t>
      </w:r>
      <w:r w:rsidRPr="00815B79">
        <w:rPr>
          <w:rFonts w:ascii="Arial" w:eastAsia="Arial" w:hAnsi="Arial" w:cs="Arial"/>
          <w:b/>
          <w:bCs/>
          <w:sz w:val="22"/>
          <w:szCs w:val="22"/>
        </w:rPr>
        <w:t>Logística y Transporte</w:t>
      </w:r>
      <w:r>
        <w:rPr>
          <w:rFonts w:ascii="Arial" w:eastAsia="Arial" w:hAnsi="Arial" w:cs="Arial"/>
          <w:b/>
          <w:bCs/>
          <w:sz w:val="22"/>
          <w:szCs w:val="22"/>
        </w:rPr>
        <w:t xml:space="preserve"> de</w:t>
      </w:r>
      <w:r w:rsidRPr="00815B79">
        <w:rPr>
          <w:rFonts w:ascii="Arial" w:eastAsia="Arial" w:hAnsi="Arial" w:cs="Arial"/>
          <w:b/>
          <w:bCs/>
          <w:sz w:val="22"/>
          <w:szCs w:val="22"/>
        </w:rPr>
        <w:t xml:space="preserve"> ManpowerGroup</w:t>
      </w:r>
      <w:r>
        <w:rPr>
          <w:rFonts w:ascii="Arial" w:eastAsia="Arial" w:hAnsi="Arial" w:cs="Arial"/>
          <w:bCs/>
          <w:sz w:val="22"/>
          <w:szCs w:val="22"/>
        </w:rPr>
        <w:t>, afirma que “</w:t>
      </w:r>
      <w:r w:rsidR="00581F0F">
        <w:rPr>
          <w:rFonts w:ascii="Arial" w:eastAsia="Arial" w:hAnsi="Arial" w:cs="Arial"/>
          <w:bCs/>
          <w:i/>
          <w:iCs/>
          <w:sz w:val="22"/>
          <w:szCs w:val="22"/>
        </w:rPr>
        <w:t>a</w:t>
      </w:r>
      <w:r w:rsidR="0098175B">
        <w:rPr>
          <w:rFonts w:ascii="Arial" w:eastAsia="Arial" w:hAnsi="Arial" w:cs="Arial"/>
          <w:bCs/>
          <w:i/>
          <w:iCs/>
          <w:sz w:val="22"/>
          <w:szCs w:val="22"/>
        </w:rPr>
        <w:t>unque con oscilaciones, el sector está acumulando muchos trimestres entre los que más voluntad muestran por contratar. L</w:t>
      </w:r>
      <w:r w:rsidR="00581F0F">
        <w:rPr>
          <w:rFonts w:ascii="Arial" w:eastAsia="Arial" w:hAnsi="Arial" w:cs="Arial"/>
          <w:bCs/>
          <w:i/>
          <w:iCs/>
          <w:sz w:val="22"/>
          <w:szCs w:val="22"/>
        </w:rPr>
        <w:t>as perspectivas para el primer trimestre del año son optimistas</w:t>
      </w:r>
      <w:r w:rsidR="0098175B">
        <w:rPr>
          <w:rFonts w:ascii="Arial" w:eastAsia="Arial" w:hAnsi="Arial" w:cs="Arial"/>
          <w:bCs/>
          <w:i/>
          <w:iCs/>
          <w:sz w:val="22"/>
          <w:szCs w:val="22"/>
        </w:rPr>
        <w:t xml:space="preserve"> y confirman la tendencia</w:t>
      </w:r>
      <w:r w:rsidR="00581F0F">
        <w:rPr>
          <w:rFonts w:ascii="Arial" w:eastAsia="Arial" w:hAnsi="Arial" w:cs="Arial"/>
          <w:bCs/>
          <w:i/>
          <w:iCs/>
          <w:sz w:val="22"/>
          <w:szCs w:val="22"/>
        </w:rPr>
        <w:t xml:space="preserve">. </w:t>
      </w:r>
      <w:r w:rsidR="0098175B">
        <w:rPr>
          <w:rFonts w:ascii="Arial" w:eastAsia="Arial" w:hAnsi="Arial" w:cs="Arial"/>
          <w:bCs/>
          <w:i/>
          <w:iCs/>
          <w:sz w:val="22"/>
          <w:szCs w:val="22"/>
        </w:rPr>
        <w:t>El sector goza de buena salud, dado su papel estratégico en la economía, y continuará generando oportunidades de empleo</w:t>
      </w:r>
      <w:r>
        <w:rPr>
          <w:rFonts w:ascii="Arial" w:eastAsia="Arial" w:hAnsi="Arial" w:cs="Arial"/>
          <w:bCs/>
          <w:i/>
          <w:iCs/>
          <w:sz w:val="22"/>
          <w:szCs w:val="22"/>
        </w:rPr>
        <w:t>”.</w:t>
      </w:r>
    </w:p>
    <w:p w14:paraId="0D8BD5D4" w14:textId="77777777" w:rsidR="00F21EE9" w:rsidRPr="00F21EE9" w:rsidRDefault="00F21EE9" w:rsidP="001828BD">
      <w:pPr>
        <w:spacing w:before="120" w:line="288" w:lineRule="auto"/>
        <w:jc w:val="both"/>
        <w:rPr>
          <w:rFonts w:ascii="Arial" w:eastAsia="Arial" w:hAnsi="Arial" w:cs="Arial"/>
          <w:bCs/>
          <w:i/>
          <w:iCs/>
          <w:sz w:val="22"/>
          <w:szCs w:val="22"/>
        </w:rPr>
      </w:pPr>
    </w:p>
    <w:p w14:paraId="53C993B1" w14:textId="77777777" w:rsidR="0098175B" w:rsidRPr="009D4CEF" w:rsidRDefault="0098175B" w:rsidP="0098175B">
      <w:pPr>
        <w:spacing w:before="120" w:line="288" w:lineRule="auto"/>
        <w:jc w:val="both"/>
        <w:rPr>
          <w:rFonts w:ascii="Arial" w:eastAsia="Arial" w:hAnsi="Arial" w:cs="Arial"/>
          <w:b/>
          <w:bCs/>
          <w:sz w:val="22"/>
          <w:szCs w:val="22"/>
        </w:rPr>
      </w:pPr>
      <w:bookmarkStart w:id="5" w:name="_Hlk184914123"/>
      <w:r>
        <w:rPr>
          <w:rFonts w:ascii="Arial" w:eastAsia="Arial" w:hAnsi="Arial" w:cs="Arial"/>
          <w:b/>
          <w:bCs/>
          <w:sz w:val="22"/>
          <w:szCs w:val="22"/>
        </w:rPr>
        <w:t>Tecnología encabeza las previsiones de generación de empleo en España</w:t>
      </w:r>
    </w:p>
    <w:bookmarkEnd w:id="5"/>
    <w:p w14:paraId="5EA01103" w14:textId="0B540ACE" w:rsidR="0013008D" w:rsidRDefault="00F82ABD" w:rsidP="00555D20">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empresas </w:t>
      </w:r>
      <w:r w:rsidR="009C5491">
        <w:rPr>
          <w:rFonts w:ascii="Arial" w:eastAsia="Arial" w:hAnsi="Arial" w:cs="Arial"/>
          <w:bCs/>
          <w:sz w:val="22"/>
          <w:szCs w:val="22"/>
        </w:rPr>
        <w:t xml:space="preserve">de </w:t>
      </w:r>
      <w:r w:rsidR="009C5491" w:rsidRPr="009C5491">
        <w:rPr>
          <w:rFonts w:ascii="Arial" w:eastAsia="Arial" w:hAnsi="Arial" w:cs="Arial"/>
          <w:b/>
          <w:sz w:val="22"/>
          <w:szCs w:val="22"/>
        </w:rPr>
        <w:t>Tecnología</w:t>
      </w:r>
      <w:r>
        <w:rPr>
          <w:rFonts w:ascii="Arial" w:eastAsia="Arial" w:hAnsi="Arial" w:cs="Arial"/>
          <w:bCs/>
          <w:sz w:val="22"/>
          <w:szCs w:val="22"/>
        </w:rPr>
        <w:t xml:space="preserve"> inician el año como las más optimistas con unas previsiones netas de generación de empleo del 27%, 10 puntos por encima de la media nacional. </w:t>
      </w:r>
    </w:p>
    <w:p w14:paraId="13039567" w14:textId="62DFF1C6" w:rsidR="00F82ABD" w:rsidRDefault="0013008D" w:rsidP="00555D20">
      <w:pPr>
        <w:spacing w:before="120" w:line="288" w:lineRule="auto"/>
        <w:jc w:val="both"/>
        <w:rPr>
          <w:rFonts w:ascii="Arial" w:eastAsia="Arial" w:hAnsi="Arial" w:cs="Arial"/>
          <w:bCs/>
          <w:sz w:val="22"/>
          <w:szCs w:val="22"/>
        </w:rPr>
      </w:pPr>
      <w:r w:rsidRPr="009C5491">
        <w:rPr>
          <w:rFonts w:ascii="Arial" w:eastAsia="Arial" w:hAnsi="Arial" w:cs="Arial"/>
          <w:b/>
          <w:sz w:val="22"/>
          <w:szCs w:val="22"/>
        </w:rPr>
        <w:t>Publicidad y comunicación</w:t>
      </w:r>
      <w:r>
        <w:rPr>
          <w:rFonts w:ascii="Arial" w:eastAsia="Arial" w:hAnsi="Arial" w:cs="Arial"/>
          <w:bCs/>
          <w:sz w:val="22"/>
          <w:szCs w:val="22"/>
        </w:rPr>
        <w:t xml:space="preserve"> </w:t>
      </w:r>
      <w:r w:rsidR="00F82ABD">
        <w:rPr>
          <w:rFonts w:ascii="Arial" w:eastAsia="Arial" w:hAnsi="Arial" w:cs="Arial"/>
          <w:bCs/>
          <w:sz w:val="22"/>
          <w:szCs w:val="22"/>
        </w:rPr>
        <w:t>comparte la</w:t>
      </w:r>
      <w:r>
        <w:rPr>
          <w:rFonts w:ascii="Arial" w:eastAsia="Arial" w:hAnsi="Arial" w:cs="Arial"/>
          <w:bCs/>
          <w:sz w:val="22"/>
          <w:szCs w:val="22"/>
        </w:rPr>
        <w:t xml:space="preserve"> segunda posición del ranking </w:t>
      </w:r>
      <w:r w:rsidR="00F82ABD">
        <w:rPr>
          <w:rFonts w:ascii="Arial" w:eastAsia="Arial" w:hAnsi="Arial" w:cs="Arial"/>
          <w:bCs/>
          <w:sz w:val="22"/>
          <w:szCs w:val="22"/>
        </w:rPr>
        <w:t xml:space="preserve">con el sector logístico </w:t>
      </w:r>
      <w:r>
        <w:rPr>
          <w:rFonts w:ascii="Arial" w:eastAsia="Arial" w:hAnsi="Arial" w:cs="Arial"/>
          <w:bCs/>
          <w:sz w:val="22"/>
          <w:szCs w:val="22"/>
        </w:rPr>
        <w:t xml:space="preserve">con un 20% de perspectivas de generación de empleo </w:t>
      </w:r>
      <w:r w:rsidR="00F82ABD">
        <w:rPr>
          <w:rFonts w:ascii="Arial" w:eastAsia="Arial" w:hAnsi="Arial" w:cs="Arial"/>
          <w:bCs/>
          <w:sz w:val="22"/>
          <w:szCs w:val="22"/>
        </w:rPr>
        <w:t xml:space="preserve">y </w:t>
      </w:r>
      <w:r w:rsidR="00C82EFD">
        <w:rPr>
          <w:rFonts w:ascii="Arial" w:eastAsia="Arial" w:hAnsi="Arial" w:cs="Arial"/>
          <w:bCs/>
          <w:sz w:val="22"/>
          <w:szCs w:val="22"/>
        </w:rPr>
        <w:t>revierte la tendencia negativa de los últimos trimestres</w:t>
      </w:r>
      <w:r w:rsidR="00F82ABD">
        <w:rPr>
          <w:rFonts w:ascii="Arial" w:eastAsia="Arial" w:hAnsi="Arial" w:cs="Arial"/>
          <w:bCs/>
          <w:sz w:val="22"/>
          <w:szCs w:val="22"/>
        </w:rPr>
        <w:t xml:space="preserve">, remontando </w:t>
      </w:r>
      <w:r w:rsidR="00C82EFD">
        <w:rPr>
          <w:rFonts w:ascii="Arial" w:eastAsia="Arial" w:hAnsi="Arial" w:cs="Arial"/>
          <w:bCs/>
          <w:sz w:val="22"/>
          <w:szCs w:val="22"/>
        </w:rPr>
        <w:t>con un notable incremento de 25 puntos.</w:t>
      </w:r>
    </w:p>
    <w:p w14:paraId="22AB6B44" w14:textId="03D1E5D7" w:rsidR="00A458AD" w:rsidRDefault="00C82EFD" w:rsidP="00555D20">
      <w:pPr>
        <w:spacing w:before="120" w:line="288" w:lineRule="auto"/>
        <w:jc w:val="both"/>
        <w:rPr>
          <w:rFonts w:ascii="Arial" w:eastAsia="Arial" w:hAnsi="Arial" w:cs="Arial"/>
          <w:bCs/>
          <w:sz w:val="22"/>
          <w:szCs w:val="22"/>
        </w:rPr>
      </w:pPr>
      <w:r>
        <w:rPr>
          <w:rFonts w:ascii="Arial" w:eastAsia="Arial" w:hAnsi="Arial" w:cs="Arial"/>
          <w:bCs/>
          <w:sz w:val="22"/>
          <w:szCs w:val="22"/>
        </w:rPr>
        <w:lastRenderedPageBreak/>
        <w:t>Le</w:t>
      </w:r>
      <w:r w:rsidR="002B2305">
        <w:rPr>
          <w:rFonts w:ascii="Arial" w:eastAsia="Arial" w:hAnsi="Arial" w:cs="Arial"/>
          <w:bCs/>
          <w:sz w:val="22"/>
          <w:szCs w:val="22"/>
        </w:rPr>
        <w:t>s</w:t>
      </w:r>
      <w:r>
        <w:rPr>
          <w:rFonts w:ascii="Arial" w:eastAsia="Arial" w:hAnsi="Arial" w:cs="Arial"/>
          <w:bCs/>
          <w:sz w:val="22"/>
          <w:szCs w:val="22"/>
        </w:rPr>
        <w:t xml:space="preserve"> siguen de cerca las empresas de</w:t>
      </w:r>
      <w:r w:rsidR="002B2305">
        <w:rPr>
          <w:rFonts w:ascii="Arial" w:eastAsia="Arial" w:hAnsi="Arial" w:cs="Arial"/>
          <w:bCs/>
          <w:sz w:val="22"/>
          <w:szCs w:val="22"/>
        </w:rPr>
        <w:t>l ámbito</w:t>
      </w:r>
      <w:r>
        <w:rPr>
          <w:rFonts w:ascii="Arial" w:eastAsia="Arial" w:hAnsi="Arial" w:cs="Arial"/>
          <w:bCs/>
          <w:sz w:val="22"/>
          <w:szCs w:val="22"/>
        </w:rPr>
        <w:t xml:space="preserve"> </w:t>
      </w:r>
      <w:r w:rsidRPr="0006279A">
        <w:rPr>
          <w:rFonts w:ascii="Arial" w:eastAsia="Arial" w:hAnsi="Arial" w:cs="Arial"/>
          <w:b/>
          <w:sz w:val="22"/>
          <w:szCs w:val="22"/>
        </w:rPr>
        <w:t>Financiero e inmobiliario</w:t>
      </w:r>
      <w:r w:rsidR="002B2305">
        <w:rPr>
          <w:rFonts w:ascii="Arial" w:eastAsia="Arial" w:hAnsi="Arial" w:cs="Arial"/>
          <w:bCs/>
          <w:sz w:val="22"/>
          <w:szCs w:val="22"/>
        </w:rPr>
        <w:t>,</w:t>
      </w:r>
      <w:r>
        <w:rPr>
          <w:rFonts w:ascii="Arial" w:eastAsia="Arial" w:hAnsi="Arial" w:cs="Arial"/>
          <w:bCs/>
          <w:sz w:val="22"/>
          <w:szCs w:val="22"/>
        </w:rPr>
        <w:t xml:space="preserve"> con unas </w:t>
      </w:r>
      <w:r w:rsidR="00F82ABD">
        <w:rPr>
          <w:rFonts w:ascii="Arial" w:eastAsia="Arial" w:hAnsi="Arial" w:cs="Arial"/>
          <w:bCs/>
          <w:sz w:val="22"/>
          <w:szCs w:val="22"/>
        </w:rPr>
        <w:t>previsiones de contratación</w:t>
      </w:r>
      <w:r>
        <w:rPr>
          <w:rFonts w:ascii="Arial" w:eastAsia="Arial" w:hAnsi="Arial" w:cs="Arial"/>
          <w:bCs/>
          <w:sz w:val="22"/>
          <w:szCs w:val="22"/>
        </w:rPr>
        <w:t xml:space="preserve"> del 18%</w:t>
      </w:r>
      <w:r w:rsidR="0006279A">
        <w:rPr>
          <w:rFonts w:ascii="Arial" w:eastAsia="Arial" w:hAnsi="Arial" w:cs="Arial"/>
          <w:bCs/>
          <w:sz w:val="22"/>
          <w:szCs w:val="22"/>
        </w:rPr>
        <w:t xml:space="preserve">; y </w:t>
      </w:r>
      <w:r w:rsidR="0006279A" w:rsidRPr="0006279A">
        <w:rPr>
          <w:rFonts w:ascii="Arial" w:eastAsia="Arial" w:hAnsi="Arial" w:cs="Arial"/>
          <w:b/>
          <w:sz w:val="22"/>
          <w:szCs w:val="22"/>
        </w:rPr>
        <w:t>Salud y farmacia</w:t>
      </w:r>
      <w:r w:rsidR="0006279A">
        <w:rPr>
          <w:rFonts w:ascii="Arial" w:eastAsia="Arial" w:hAnsi="Arial" w:cs="Arial"/>
          <w:bCs/>
          <w:sz w:val="22"/>
          <w:szCs w:val="22"/>
        </w:rPr>
        <w:t xml:space="preserve"> con un 17%.</w:t>
      </w:r>
    </w:p>
    <w:p w14:paraId="203EB0A0" w14:textId="26FE8499" w:rsidR="00E87B2B" w:rsidRDefault="00E87B2B" w:rsidP="00E87B2B">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En el lado opuesto de la lista, a pesar de que en el inicio del año no se observa ninguna previsión negativa, el sector </w:t>
      </w:r>
      <w:r w:rsidRPr="000E662A">
        <w:rPr>
          <w:rFonts w:ascii="Arial" w:eastAsia="Arial" w:hAnsi="Arial" w:cs="Arial"/>
          <w:b/>
          <w:sz w:val="22"/>
          <w:szCs w:val="22"/>
        </w:rPr>
        <w:t>Energía y suministros</w:t>
      </w:r>
      <w:r>
        <w:rPr>
          <w:rFonts w:ascii="Arial" w:eastAsia="Arial" w:hAnsi="Arial" w:cs="Arial"/>
          <w:bCs/>
          <w:sz w:val="22"/>
          <w:szCs w:val="22"/>
        </w:rPr>
        <w:t xml:space="preserve"> registra un descenso de 22 puntos respecto al último trimestre de 2024 y se posiciona a la cola con un 2% de intención de contratación. </w:t>
      </w:r>
      <w:r w:rsidR="00032B0D">
        <w:rPr>
          <w:rFonts w:ascii="Arial" w:eastAsia="Arial" w:hAnsi="Arial" w:cs="Arial"/>
          <w:bCs/>
          <w:sz w:val="22"/>
          <w:szCs w:val="22"/>
        </w:rPr>
        <w:t>El</w:t>
      </w:r>
      <w:r>
        <w:rPr>
          <w:rFonts w:ascii="Arial" w:eastAsia="Arial" w:hAnsi="Arial" w:cs="Arial"/>
          <w:bCs/>
          <w:sz w:val="22"/>
          <w:szCs w:val="22"/>
        </w:rPr>
        <w:t xml:space="preserve"> </w:t>
      </w:r>
      <w:r w:rsidR="00032B0D">
        <w:rPr>
          <w:rFonts w:ascii="Arial" w:eastAsia="Arial" w:hAnsi="Arial" w:cs="Arial"/>
          <w:bCs/>
          <w:sz w:val="22"/>
          <w:szCs w:val="22"/>
        </w:rPr>
        <w:t>escalón</w:t>
      </w:r>
      <w:r>
        <w:rPr>
          <w:rFonts w:ascii="Arial" w:eastAsia="Arial" w:hAnsi="Arial" w:cs="Arial"/>
          <w:bCs/>
          <w:sz w:val="22"/>
          <w:szCs w:val="22"/>
        </w:rPr>
        <w:t xml:space="preserve"> anterior</w:t>
      </w:r>
      <w:r w:rsidR="00032B0D">
        <w:rPr>
          <w:rFonts w:ascii="Arial" w:eastAsia="Arial" w:hAnsi="Arial" w:cs="Arial"/>
          <w:bCs/>
          <w:sz w:val="22"/>
          <w:szCs w:val="22"/>
        </w:rPr>
        <w:t xml:space="preserve"> </w:t>
      </w:r>
      <w:r>
        <w:rPr>
          <w:rFonts w:ascii="Arial" w:eastAsia="Arial" w:hAnsi="Arial" w:cs="Arial"/>
          <w:bCs/>
          <w:sz w:val="22"/>
          <w:szCs w:val="22"/>
        </w:rPr>
        <w:t>lo</w:t>
      </w:r>
      <w:r w:rsidR="00032B0D">
        <w:rPr>
          <w:rFonts w:ascii="Arial" w:eastAsia="Arial" w:hAnsi="Arial" w:cs="Arial"/>
          <w:bCs/>
          <w:sz w:val="22"/>
          <w:szCs w:val="22"/>
        </w:rPr>
        <w:t xml:space="preserve"> </w:t>
      </w:r>
      <w:r>
        <w:rPr>
          <w:rFonts w:ascii="Arial" w:eastAsia="Arial" w:hAnsi="Arial" w:cs="Arial"/>
          <w:bCs/>
          <w:sz w:val="22"/>
          <w:szCs w:val="22"/>
        </w:rPr>
        <w:t xml:space="preserve">ocupa </w:t>
      </w:r>
      <w:r w:rsidRPr="000E662A">
        <w:rPr>
          <w:rFonts w:ascii="Arial" w:eastAsia="Arial" w:hAnsi="Arial" w:cs="Arial"/>
          <w:b/>
          <w:sz w:val="22"/>
          <w:szCs w:val="22"/>
        </w:rPr>
        <w:t>Bienes y servicios de consumo</w:t>
      </w:r>
      <w:r>
        <w:rPr>
          <w:rFonts w:ascii="Arial" w:eastAsia="Arial" w:hAnsi="Arial" w:cs="Arial"/>
          <w:bCs/>
          <w:sz w:val="22"/>
          <w:szCs w:val="22"/>
        </w:rPr>
        <w:t>, que desciende 14 puntos respecto al trimestre anterior y registra una previsión del 10%</w:t>
      </w:r>
      <w:r w:rsidR="00032B0D">
        <w:rPr>
          <w:rFonts w:ascii="Arial" w:eastAsia="Arial" w:hAnsi="Arial" w:cs="Arial"/>
          <w:bCs/>
          <w:sz w:val="22"/>
          <w:szCs w:val="22"/>
        </w:rPr>
        <w:t>.</w:t>
      </w:r>
    </w:p>
    <w:p w14:paraId="2D8D120F" w14:textId="17FAA40A" w:rsidR="00830B2F" w:rsidRDefault="00830B2F" w:rsidP="00E87B2B">
      <w:pPr>
        <w:spacing w:before="120" w:line="288" w:lineRule="auto"/>
        <w:jc w:val="center"/>
        <w:rPr>
          <w:rFonts w:ascii="Arial" w:eastAsia="Arial" w:hAnsi="Arial" w:cs="Arial"/>
          <w:bCs/>
          <w:sz w:val="22"/>
          <w:szCs w:val="22"/>
        </w:rPr>
      </w:pPr>
      <w:r w:rsidRPr="00911D5D">
        <w:rPr>
          <w:rFonts w:ascii="Arial" w:eastAsiaTheme="minorEastAsia" w:hAnsi="Arial" w:cs="Arial"/>
          <w:b/>
          <w:bCs/>
          <w:i/>
          <w:iCs/>
          <w:noProof/>
          <w:sz w:val="18"/>
          <w:szCs w:val="18"/>
          <w:lang w:eastAsia="zh-CN"/>
        </w:rPr>
        <w:drawing>
          <wp:inline distT="0" distB="0" distL="0" distR="0" wp14:anchorId="0573DE44" wp14:editId="2DAB2515">
            <wp:extent cx="5562600" cy="1961084"/>
            <wp:effectExtent l="0" t="0" r="0" b="1270"/>
            <wp:docPr id="13404126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412689" name="Imagen 1"/>
                    <pic:cNvPicPr/>
                  </pic:nvPicPr>
                  <pic:blipFill>
                    <a:blip r:embed="rId8">
                      <a:extLst>
                        <a:ext uri="{28A0092B-C50C-407E-A947-70E740481C1C}">
                          <a14:useLocalDpi xmlns:a14="http://schemas.microsoft.com/office/drawing/2010/main" val="0"/>
                        </a:ext>
                      </a:extLst>
                    </a:blip>
                    <a:stretch>
                      <a:fillRect/>
                    </a:stretch>
                  </pic:blipFill>
                  <pic:spPr>
                    <a:xfrm>
                      <a:off x="0" y="0"/>
                      <a:ext cx="5569925" cy="1963666"/>
                    </a:xfrm>
                    <a:prstGeom prst="rect">
                      <a:avLst/>
                    </a:prstGeom>
                  </pic:spPr>
                </pic:pic>
              </a:graphicData>
            </a:graphic>
          </wp:inline>
        </w:drawing>
      </w:r>
    </w:p>
    <w:p w14:paraId="4628732B" w14:textId="1EF8E195" w:rsidR="00830B2F" w:rsidRDefault="00830B2F" w:rsidP="001828BD">
      <w:pPr>
        <w:spacing w:before="120" w:line="288" w:lineRule="auto"/>
        <w:jc w:val="right"/>
        <w:rPr>
          <w:rFonts w:ascii="Arial" w:eastAsia="Arial" w:hAnsi="Arial" w:cs="Arial"/>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en España</w:t>
      </w:r>
    </w:p>
    <w:p w14:paraId="0CA634D4" w14:textId="1710BE7D" w:rsidR="00830B2F" w:rsidRDefault="00830B2F" w:rsidP="001828BD">
      <w:pPr>
        <w:spacing w:before="120" w:line="288" w:lineRule="auto"/>
        <w:jc w:val="both"/>
        <w:rPr>
          <w:rFonts w:ascii="Arial" w:eastAsia="Arial" w:hAnsi="Arial" w:cs="Arial"/>
          <w:bCs/>
          <w:sz w:val="22"/>
          <w:szCs w:val="22"/>
        </w:rPr>
      </w:pPr>
    </w:p>
    <w:p w14:paraId="6741D5B6" w14:textId="3076C649" w:rsidR="009F33E5" w:rsidRDefault="0098175B" w:rsidP="009F33E5">
      <w:pPr>
        <w:spacing w:before="120" w:line="288" w:lineRule="auto"/>
        <w:jc w:val="both"/>
        <w:rPr>
          <w:rFonts w:ascii="Arial" w:eastAsia="Arial" w:hAnsi="Arial" w:cs="Arial"/>
          <w:b/>
          <w:bCs/>
          <w:sz w:val="22"/>
          <w:szCs w:val="22"/>
        </w:rPr>
      </w:pPr>
      <w:bookmarkStart w:id="6" w:name="_Hlk177492645"/>
      <w:r>
        <w:rPr>
          <w:rFonts w:ascii="Arial" w:eastAsia="Arial" w:hAnsi="Arial" w:cs="Arial"/>
          <w:b/>
          <w:bCs/>
          <w:sz w:val="22"/>
          <w:szCs w:val="22"/>
        </w:rPr>
        <w:t>La logística, a nivel global, ligeramente por debajo de la media</w:t>
      </w:r>
    </w:p>
    <w:p w14:paraId="5C8D3744" w14:textId="34F14612" w:rsidR="00BC0EE7" w:rsidRDefault="00BC0EE7" w:rsidP="001828BD">
      <w:pPr>
        <w:spacing w:before="120" w:line="288" w:lineRule="auto"/>
        <w:jc w:val="both"/>
        <w:rPr>
          <w:rFonts w:ascii="Arial" w:eastAsia="Arial" w:hAnsi="Arial" w:cs="Arial"/>
          <w:sz w:val="22"/>
          <w:szCs w:val="22"/>
        </w:rPr>
      </w:pPr>
      <w:r>
        <w:rPr>
          <w:rFonts w:ascii="Arial" w:eastAsia="Arial" w:hAnsi="Arial" w:cs="Arial"/>
          <w:sz w:val="22"/>
          <w:szCs w:val="22"/>
        </w:rPr>
        <w:t>En el análisis global, las empresas del sector tecnológico lideran el ranking una vez más y presentan previsiones positivas los primeros meses del año</w:t>
      </w:r>
      <w:r w:rsidR="000E662A">
        <w:rPr>
          <w:rFonts w:ascii="Arial" w:eastAsia="Arial" w:hAnsi="Arial" w:cs="Arial"/>
          <w:sz w:val="22"/>
          <w:szCs w:val="22"/>
        </w:rPr>
        <w:t xml:space="preserve"> con un 37% de expectativas de contratación, mejorando, además, </w:t>
      </w:r>
      <w:r>
        <w:rPr>
          <w:rFonts w:ascii="Arial" w:eastAsia="Arial" w:hAnsi="Arial" w:cs="Arial"/>
          <w:sz w:val="22"/>
          <w:szCs w:val="22"/>
        </w:rPr>
        <w:t>2 puntos respecto al trimestre anterior</w:t>
      </w:r>
      <w:r w:rsidR="000E662A">
        <w:rPr>
          <w:rFonts w:ascii="Arial" w:eastAsia="Arial" w:hAnsi="Arial" w:cs="Arial"/>
          <w:sz w:val="22"/>
          <w:szCs w:val="22"/>
        </w:rPr>
        <w:t>.</w:t>
      </w:r>
    </w:p>
    <w:bookmarkEnd w:id="6"/>
    <w:p w14:paraId="064CF92B" w14:textId="537E8869" w:rsidR="00830B2F" w:rsidRPr="00830B2F" w:rsidRDefault="0098175B" w:rsidP="001828BD">
      <w:pPr>
        <w:spacing w:before="120" w:line="288" w:lineRule="auto"/>
        <w:jc w:val="both"/>
        <w:rPr>
          <w:rFonts w:ascii="Arial" w:eastAsia="Arial" w:hAnsi="Arial" w:cs="Arial"/>
          <w:b/>
          <w:bCs/>
          <w:sz w:val="22"/>
          <w:szCs w:val="22"/>
        </w:rPr>
      </w:pPr>
      <w:r>
        <w:rPr>
          <w:rFonts w:ascii="Arial" w:eastAsia="Arial" w:hAnsi="Arial" w:cs="Arial"/>
          <w:sz w:val="22"/>
          <w:szCs w:val="22"/>
        </w:rPr>
        <w:t xml:space="preserve">A pesar de mejorar el dato absoluto del mercado español, a nivel global las empresas de </w:t>
      </w:r>
      <w:r w:rsidRPr="005B2A67">
        <w:rPr>
          <w:rFonts w:ascii="Arial" w:eastAsia="Arial" w:hAnsi="Arial" w:cs="Arial"/>
          <w:b/>
          <w:bCs/>
          <w:sz w:val="22"/>
          <w:szCs w:val="22"/>
        </w:rPr>
        <w:t>Logística, transporte y automoción</w:t>
      </w:r>
      <w:r>
        <w:rPr>
          <w:rFonts w:ascii="Arial" w:eastAsia="Arial" w:hAnsi="Arial" w:cs="Arial"/>
          <w:sz w:val="22"/>
          <w:szCs w:val="22"/>
        </w:rPr>
        <w:t xml:space="preserve"> se sitúan, con unas previsiones del </w:t>
      </w:r>
      <w:r w:rsidRPr="005B2A67">
        <w:rPr>
          <w:rFonts w:ascii="Arial" w:eastAsia="Arial" w:hAnsi="Arial" w:cs="Arial"/>
          <w:b/>
          <w:bCs/>
          <w:sz w:val="22"/>
          <w:szCs w:val="22"/>
        </w:rPr>
        <w:t>24%</w:t>
      </w:r>
      <w:r>
        <w:rPr>
          <w:rFonts w:ascii="Arial" w:eastAsia="Arial" w:hAnsi="Arial" w:cs="Arial"/>
          <w:sz w:val="22"/>
          <w:szCs w:val="22"/>
        </w:rPr>
        <w:t>, un punto por debajo de la media.</w:t>
      </w:r>
    </w:p>
    <w:p w14:paraId="56E13614" w14:textId="4EEC048B" w:rsidR="00830B2F" w:rsidRDefault="00830B2F" w:rsidP="002B2305">
      <w:pPr>
        <w:spacing w:before="120" w:line="288" w:lineRule="auto"/>
        <w:jc w:val="center"/>
        <w:rPr>
          <w:rFonts w:ascii="Arial" w:eastAsia="Arial" w:hAnsi="Arial" w:cs="Arial"/>
          <w:bCs/>
          <w:sz w:val="22"/>
          <w:szCs w:val="22"/>
        </w:rPr>
      </w:pPr>
      <w:r w:rsidRPr="0036519F">
        <w:rPr>
          <w:rFonts w:ascii="Arial" w:eastAsiaTheme="minorEastAsia" w:hAnsi="Arial" w:cs="Arial"/>
          <w:b/>
          <w:bCs/>
          <w:i/>
          <w:iCs/>
          <w:noProof/>
          <w:sz w:val="18"/>
          <w:szCs w:val="18"/>
          <w:lang w:eastAsia="zh-CN"/>
        </w:rPr>
        <w:drawing>
          <wp:inline distT="0" distB="0" distL="0" distR="0" wp14:anchorId="4F7728EE" wp14:editId="6D30CB3A">
            <wp:extent cx="5092700" cy="1876291"/>
            <wp:effectExtent l="0" t="0" r="0" b="0"/>
            <wp:docPr id="15319476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947652" name="Imagen 1"/>
                    <pic:cNvPicPr/>
                  </pic:nvPicPr>
                  <pic:blipFill rotWithShape="1">
                    <a:blip r:embed="rId9" cstate="print">
                      <a:extLst>
                        <a:ext uri="{28A0092B-C50C-407E-A947-70E740481C1C}">
                          <a14:useLocalDpi xmlns:a14="http://schemas.microsoft.com/office/drawing/2010/main" val="0"/>
                        </a:ext>
                      </a:extLst>
                    </a:blip>
                    <a:srcRect b="1859"/>
                    <a:stretch/>
                  </pic:blipFill>
                  <pic:spPr bwMode="auto">
                    <a:xfrm>
                      <a:off x="0" y="0"/>
                      <a:ext cx="5103378" cy="1880225"/>
                    </a:xfrm>
                    <a:prstGeom prst="rect">
                      <a:avLst/>
                    </a:prstGeom>
                    <a:ln>
                      <a:noFill/>
                    </a:ln>
                    <a:extLst>
                      <a:ext uri="{53640926-AAD7-44D8-BBD7-CCE9431645EC}">
                        <a14:shadowObscured xmlns:a14="http://schemas.microsoft.com/office/drawing/2010/main"/>
                      </a:ext>
                    </a:extLst>
                  </pic:spPr>
                </pic:pic>
              </a:graphicData>
            </a:graphic>
          </wp:inline>
        </w:drawing>
      </w:r>
    </w:p>
    <w:p w14:paraId="126079F6" w14:textId="55076FAA" w:rsidR="00830B2F" w:rsidRDefault="00830B2F" w:rsidP="001828BD">
      <w:pPr>
        <w:spacing w:before="120" w:line="288" w:lineRule="auto"/>
        <w:jc w:val="right"/>
        <w:rPr>
          <w:rFonts w:ascii="Arial" w:eastAsia="Arial" w:hAnsi="Arial" w:cs="Arial"/>
          <w:bCs/>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a nivel global</w:t>
      </w:r>
    </w:p>
    <w:bookmarkEnd w:id="3"/>
    <w:bookmarkEnd w:id="4"/>
    <w:p w14:paraId="24F4ACE4" w14:textId="77777777" w:rsidR="0098175B" w:rsidRDefault="0098175B" w:rsidP="00F73932">
      <w:pPr>
        <w:spacing w:before="120" w:line="288" w:lineRule="auto"/>
        <w:jc w:val="both"/>
        <w:rPr>
          <w:rFonts w:ascii="Arial" w:hAnsi="Arial" w:cs="Arial"/>
          <w:b/>
          <w:bCs/>
          <w:sz w:val="20"/>
          <w:szCs w:val="20"/>
        </w:rPr>
      </w:pPr>
    </w:p>
    <w:p w14:paraId="6F8EBF0E" w14:textId="38440806" w:rsidR="00F73932" w:rsidRPr="00DC55EB" w:rsidRDefault="00F73932" w:rsidP="00F73932">
      <w:pPr>
        <w:spacing w:before="120" w:line="288" w:lineRule="auto"/>
        <w:jc w:val="both"/>
        <w:rPr>
          <w:rFonts w:ascii="Arial" w:hAnsi="Arial" w:cs="Arial"/>
          <w:sz w:val="20"/>
          <w:szCs w:val="20"/>
        </w:rPr>
      </w:pPr>
      <w:r w:rsidRPr="00DC55EB">
        <w:rPr>
          <w:rFonts w:ascii="Arial" w:hAnsi="Arial" w:cs="Arial"/>
          <w:b/>
          <w:bCs/>
          <w:sz w:val="20"/>
          <w:szCs w:val="20"/>
        </w:rPr>
        <w:lastRenderedPageBreak/>
        <w:t xml:space="preserve">Sobre el Estudio de Proyección de Empleo de ManpowerGroup: </w:t>
      </w:r>
      <w:r>
        <w:rPr>
          <w:rFonts w:ascii="Arial" w:hAnsi="Arial" w:cs="Arial"/>
          <w:sz w:val="20"/>
          <w:szCs w:val="20"/>
        </w:rPr>
        <w:t>e</w:t>
      </w:r>
      <w:r w:rsidRPr="00DC55EB">
        <w:rPr>
          <w:rFonts w:ascii="Arial" w:hAnsi="Arial" w:cs="Arial"/>
          <w:sz w:val="20"/>
          <w:szCs w:val="20"/>
        </w:rPr>
        <w:t xml:space="preserve">ste estudio se basa en entrevistas realizadas a </w:t>
      </w:r>
      <w:r w:rsidRPr="00B25727">
        <w:rPr>
          <w:rFonts w:ascii="Arial" w:hAnsi="Arial" w:cs="Arial"/>
          <w:b/>
          <w:bCs/>
          <w:sz w:val="20"/>
          <w:szCs w:val="20"/>
        </w:rPr>
        <w:t>40.</w:t>
      </w:r>
      <w:r>
        <w:rPr>
          <w:rFonts w:ascii="Arial" w:hAnsi="Arial" w:cs="Arial"/>
          <w:b/>
          <w:bCs/>
          <w:sz w:val="20"/>
          <w:szCs w:val="20"/>
        </w:rPr>
        <w:t>413</w:t>
      </w:r>
      <w:r w:rsidRPr="00B25727">
        <w:rPr>
          <w:rFonts w:ascii="Arial" w:hAnsi="Arial" w:cs="Arial"/>
          <w:b/>
          <w:bCs/>
          <w:sz w:val="20"/>
          <w:szCs w:val="20"/>
        </w:rPr>
        <w:t xml:space="preserve"> </w:t>
      </w:r>
      <w:r w:rsidRPr="00DC55EB">
        <w:rPr>
          <w:rFonts w:ascii="Arial" w:hAnsi="Arial" w:cs="Arial"/>
          <w:b/>
          <w:bCs/>
          <w:sz w:val="20"/>
          <w:szCs w:val="20"/>
        </w:rPr>
        <w:t>empresas de todo el mundo -1.0</w:t>
      </w:r>
      <w:r>
        <w:rPr>
          <w:rFonts w:ascii="Arial" w:hAnsi="Arial" w:cs="Arial"/>
          <w:b/>
          <w:bCs/>
          <w:sz w:val="20"/>
          <w:szCs w:val="20"/>
        </w:rPr>
        <w:t>50</w:t>
      </w:r>
      <w:r w:rsidRPr="00DC55EB">
        <w:rPr>
          <w:rFonts w:ascii="Arial" w:hAnsi="Arial" w:cs="Arial"/>
          <w:b/>
          <w:bCs/>
          <w:sz w:val="20"/>
          <w:szCs w:val="20"/>
        </w:rPr>
        <w:t xml:space="preserve"> de ellas en España-</w:t>
      </w:r>
      <w:r w:rsidRPr="00DC55EB">
        <w:rPr>
          <w:rFonts w:ascii="Arial" w:hAnsi="Arial" w:cs="Arial"/>
          <w:sz w:val="20"/>
          <w:szCs w:val="20"/>
        </w:rPr>
        <w:t>, tanto del sector público como del privado, de 4</w:t>
      </w:r>
      <w:r>
        <w:rPr>
          <w:rFonts w:ascii="Arial" w:hAnsi="Arial" w:cs="Arial"/>
          <w:sz w:val="20"/>
          <w:szCs w:val="20"/>
        </w:rPr>
        <w:t>2</w:t>
      </w:r>
      <w:r w:rsidRPr="00DC55EB">
        <w:rPr>
          <w:rFonts w:ascii="Arial" w:hAnsi="Arial" w:cs="Arial"/>
          <w:sz w:val="20"/>
          <w:szCs w:val="20"/>
        </w:rPr>
        <w:t xml:space="preserve"> países y territorios, y su objetivo es medir las tendencias de empleo previstas para cada trimestre. Esta muestra permite realizar un análisis por sectores y regiones -ya que están estandarizados en todos los mercados- y así ofrecer una información más detallada.</w:t>
      </w:r>
    </w:p>
    <w:p w14:paraId="5244759E" w14:textId="77777777" w:rsidR="00F73932" w:rsidRPr="00143F63" w:rsidRDefault="00F73932" w:rsidP="00F73932">
      <w:pPr>
        <w:spacing w:before="120" w:line="288" w:lineRule="auto"/>
        <w:jc w:val="both"/>
        <w:rPr>
          <w:rFonts w:ascii="Arial" w:hAnsi="Arial" w:cs="Arial"/>
          <w:sz w:val="20"/>
          <w:szCs w:val="20"/>
        </w:rPr>
      </w:pPr>
      <w:r w:rsidRPr="00DC55EB">
        <w:rPr>
          <w:rFonts w:ascii="Arial" w:hAnsi="Arial" w:cs="Arial"/>
          <w:sz w:val="20"/>
          <w:szCs w:val="20"/>
        </w:rPr>
        <w:t xml:space="preserve">El estudio obtiene su información a partir de una única pregunta: </w:t>
      </w:r>
      <w:r w:rsidRPr="00D14253">
        <w:rPr>
          <w:rFonts w:ascii="Arial" w:hAnsi="Arial" w:cs="Arial"/>
          <w:b/>
          <w:bCs/>
          <w:sz w:val="20"/>
          <w:szCs w:val="20"/>
        </w:rPr>
        <w:t>“¿Cómo prevé usted que</w:t>
      </w:r>
      <w:r>
        <w:rPr>
          <w:rFonts w:ascii="Arial" w:hAnsi="Arial" w:cs="Arial"/>
          <w:b/>
          <w:bCs/>
          <w:sz w:val="20"/>
          <w:szCs w:val="20"/>
        </w:rPr>
        <w:t xml:space="preserve"> </w:t>
      </w:r>
      <w:r w:rsidRPr="00D14253">
        <w:rPr>
          <w:rFonts w:ascii="Arial" w:hAnsi="Arial" w:cs="Arial"/>
          <w:b/>
          <w:bCs/>
          <w:sz w:val="20"/>
          <w:szCs w:val="20"/>
        </w:rPr>
        <w:t>cambiará el empleo total en su empresa en el próximo trimestre, desde</w:t>
      </w:r>
      <w:r>
        <w:rPr>
          <w:rFonts w:ascii="Arial" w:hAnsi="Arial" w:cs="Arial"/>
          <w:b/>
          <w:bCs/>
          <w:sz w:val="20"/>
          <w:szCs w:val="20"/>
        </w:rPr>
        <w:t xml:space="preserve"> enero a marzo de 2025</w:t>
      </w:r>
      <w:r w:rsidRPr="00D14253">
        <w:rPr>
          <w:rFonts w:ascii="Arial" w:hAnsi="Arial" w:cs="Arial"/>
          <w:b/>
          <w:bCs/>
          <w:sz w:val="20"/>
          <w:szCs w:val="20"/>
        </w:rPr>
        <w:t>, en comparación con el trimestre</w:t>
      </w:r>
      <w:r>
        <w:rPr>
          <w:rFonts w:ascii="Arial" w:hAnsi="Arial" w:cs="Arial"/>
          <w:b/>
          <w:bCs/>
          <w:sz w:val="20"/>
          <w:szCs w:val="20"/>
        </w:rPr>
        <w:t xml:space="preserve"> </w:t>
      </w:r>
      <w:r w:rsidRPr="00D14253">
        <w:rPr>
          <w:rFonts w:ascii="Arial" w:hAnsi="Arial" w:cs="Arial"/>
          <w:b/>
          <w:bCs/>
          <w:sz w:val="20"/>
          <w:szCs w:val="20"/>
        </w:rPr>
        <w:t>actual?”</w:t>
      </w:r>
      <w:r w:rsidRPr="00DC55EB">
        <w:rPr>
          <w:rFonts w:ascii="Arial" w:hAnsi="Arial" w:cs="Arial"/>
          <w:sz w:val="20"/>
          <w:szCs w:val="20"/>
        </w:rPr>
        <w:t xml:space="preserve">. Como resultado de comparar las compañías que tienen previsto ampliar sus equipos y las que anticipan una reducción </w:t>
      </w:r>
      <w:r w:rsidRPr="00DC55EB">
        <w:rPr>
          <w:rFonts w:ascii="Arial" w:hAnsi="Arial" w:cs="Arial"/>
          <w:b/>
          <w:bCs/>
          <w:sz w:val="20"/>
          <w:szCs w:val="20"/>
        </w:rPr>
        <w:t>se obtiene un índice cuyo resultado puede ir desde -100% a 100%</w:t>
      </w:r>
      <w:r w:rsidRPr="00DC55EB">
        <w:rPr>
          <w:rFonts w:ascii="Arial" w:hAnsi="Arial" w:cs="Arial"/>
          <w:sz w:val="20"/>
          <w:szCs w:val="20"/>
        </w:rPr>
        <w:t>.</w:t>
      </w:r>
    </w:p>
    <w:p w14:paraId="27612037" w14:textId="77777777" w:rsidR="00F73932" w:rsidRPr="00DC55EB" w:rsidRDefault="00F73932" w:rsidP="00F73932">
      <w:pPr>
        <w:spacing w:before="120" w:line="288" w:lineRule="auto"/>
        <w:jc w:val="both"/>
        <w:rPr>
          <w:rFonts w:ascii="Arial" w:hAnsi="Arial" w:cs="Arial"/>
          <w:sz w:val="20"/>
          <w:szCs w:val="20"/>
        </w:rPr>
      </w:pPr>
      <w:r w:rsidRPr="00DC55EB">
        <w:rPr>
          <w:rFonts w:ascii="Arial" w:hAnsi="Arial" w:cs="Arial"/>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550BC899" w14:textId="77777777" w:rsidR="00783F06" w:rsidRDefault="00783F06" w:rsidP="0006407D">
      <w:pPr>
        <w:jc w:val="both"/>
        <w:rPr>
          <w:rFonts w:ascii="Arial" w:hAnsi="Arial" w:cs="Arial"/>
          <w:b/>
          <w:bCs/>
          <w:sz w:val="16"/>
          <w:szCs w:val="16"/>
        </w:rPr>
      </w:pPr>
    </w:p>
    <w:p w14:paraId="6C7FD68E" w14:textId="77777777" w:rsidR="0098175B" w:rsidRDefault="0098175B" w:rsidP="002B2305">
      <w:pPr>
        <w:jc w:val="both"/>
        <w:textAlignment w:val="baseline"/>
        <w:rPr>
          <w:rFonts w:ascii="Arial" w:eastAsiaTheme="minorHAnsi" w:hAnsi="Arial" w:cs="Arial"/>
          <w:b/>
          <w:bCs/>
          <w:sz w:val="16"/>
          <w:szCs w:val="16"/>
          <w:lang w:eastAsia="en-US"/>
        </w:rPr>
      </w:pPr>
    </w:p>
    <w:p w14:paraId="44B4941A" w14:textId="77777777" w:rsidR="0098175B" w:rsidRDefault="0098175B" w:rsidP="002B2305">
      <w:pPr>
        <w:jc w:val="both"/>
        <w:textAlignment w:val="baseline"/>
        <w:rPr>
          <w:rFonts w:ascii="Arial" w:eastAsia="Arial" w:hAnsi="Arial" w:cs="Arial"/>
          <w:sz w:val="16"/>
          <w:szCs w:val="16"/>
        </w:rPr>
      </w:pPr>
    </w:p>
    <w:p w14:paraId="7C6D7306" w14:textId="41C32414" w:rsidR="0006407D" w:rsidRPr="005209A4" w:rsidRDefault="0006407D" w:rsidP="0006407D">
      <w:pPr>
        <w:jc w:val="both"/>
        <w:rPr>
          <w:rFonts w:ascii="Arial" w:hAnsi="Arial" w:cs="Arial"/>
          <w:sz w:val="16"/>
          <w:szCs w:val="16"/>
        </w:rPr>
      </w:pPr>
      <w:r w:rsidRPr="005209A4">
        <w:rPr>
          <w:rFonts w:ascii="Arial" w:hAnsi="Arial" w:cs="Arial"/>
          <w:b/>
          <w:bCs/>
          <w:sz w:val="16"/>
          <w:szCs w:val="16"/>
        </w:rPr>
        <w:t>ManpowerGroup</w:t>
      </w:r>
      <w:r w:rsidRPr="005209A4">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DE2A239" w14:textId="77777777" w:rsidR="0006407D" w:rsidRPr="005209A4" w:rsidRDefault="0006407D" w:rsidP="0006407D">
      <w:pPr>
        <w:jc w:val="both"/>
        <w:rPr>
          <w:rFonts w:ascii="Arial" w:hAnsi="Arial" w:cs="Arial"/>
          <w:sz w:val="16"/>
          <w:szCs w:val="16"/>
        </w:rPr>
      </w:pPr>
      <w:r w:rsidRPr="005209A4">
        <w:rPr>
          <w:rFonts w:ascii="Arial" w:hAnsi="Arial" w:cs="Arial"/>
          <w:sz w:val="16"/>
          <w:szCs w:val="16"/>
        </w:rPr>
        <w:t xml:space="preserve">Más información en </w:t>
      </w:r>
      <w:hyperlink r:id="rId10" w:history="1">
        <w:r w:rsidRPr="005209A4">
          <w:rPr>
            <w:rStyle w:val="Hipervnculo"/>
            <w:rFonts w:ascii="Arial" w:hAnsi="Arial" w:cs="Arial"/>
            <w:sz w:val="16"/>
            <w:szCs w:val="16"/>
          </w:rPr>
          <w:t>www.manpowergroup.es</w:t>
        </w:r>
      </w:hyperlink>
      <w:r w:rsidRPr="005209A4">
        <w:rPr>
          <w:rFonts w:ascii="Arial" w:hAnsi="Arial" w:cs="Arial"/>
          <w:sz w:val="16"/>
          <w:szCs w:val="16"/>
        </w:rPr>
        <w:t>.</w:t>
      </w:r>
    </w:p>
    <w:p w14:paraId="36D9F6DC" w14:textId="77777777" w:rsidR="008F16C4" w:rsidRDefault="008F16C4" w:rsidP="0006407D">
      <w:pPr>
        <w:jc w:val="both"/>
        <w:rPr>
          <w:rFonts w:ascii="Arial" w:hAnsi="Arial" w:cs="Arial"/>
          <w:b/>
          <w:bCs/>
          <w:sz w:val="16"/>
          <w:szCs w:val="16"/>
        </w:rPr>
      </w:pPr>
    </w:p>
    <w:p w14:paraId="72D27940" w14:textId="77777777" w:rsidR="002B2305" w:rsidRPr="005209A4" w:rsidRDefault="002B2305" w:rsidP="0006407D">
      <w:pPr>
        <w:jc w:val="both"/>
        <w:rPr>
          <w:rFonts w:ascii="Arial" w:hAnsi="Arial" w:cs="Arial"/>
          <w:b/>
          <w:bCs/>
          <w:sz w:val="16"/>
          <w:szCs w:val="16"/>
        </w:rPr>
      </w:pPr>
    </w:p>
    <w:p w14:paraId="156C1617" w14:textId="77777777" w:rsidR="0006407D" w:rsidRPr="005209A4" w:rsidRDefault="0006407D" w:rsidP="0006407D">
      <w:pPr>
        <w:jc w:val="both"/>
        <w:rPr>
          <w:rFonts w:ascii="Arial" w:hAnsi="Arial" w:cs="Arial"/>
          <w:b/>
          <w:bCs/>
          <w:sz w:val="16"/>
          <w:szCs w:val="16"/>
        </w:rPr>
      </w:pPr>
    </w:p>
    <w:p w14:paraId="388A29FF" w14:textId="77777777" w:rsidR="001A2A76" w:rsidRPr="005209A4" w:rsidRDefault="001A2A76" w:rsidP="0006407D">
      <w:pPr>
        <w:tabs>
          <w:tab w:val="right" w:pos="8838"/>
        </w:tabs>
        <w:autoSpaceDE w:val="0"/>
        <w:autoSpaceDN w:val="0"/>
        <w:adjustRightInd w:val="0"/>
        <w:jc w:val="both"/>
        <w:rPr>
          <w:rFonts w:ascii="Arial" w:hAnsi="Arial" w:cs="Arial"/>
          <w:b/>
          <w:bCs/>
          <w:sz w:val="16"/>
          <w:szCs w:val="16"/>
        </w:rPr>
      </w:pPr>
      <w:r w:rsidRPr="005209A4">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36519F" w:rsidRPr="00EE7830" w14:paraId="42099638" w14:textId="77777777" w:rsidTr="00755E42">
        <w:trPr>
          <w:trHeight w:val="1159"/>
        </w:trPr>
        <w:tc>
          <w:tcPr>
            <w:tcW w:w="2943" w:type="dxa"/>
            <w:hideMark/>
          </w:tcPr>
          <w:p w14:paraId="23AB43A0" w14:textId="77777777" w:rsidR="0036519F" w:rsidRPr="00761D60" w:rsidRDefault="0036519F" w:rsidP="00755E42">
            <w:pPr>
              <w:pStyle w:val="NormalWeb"/>
              <w:spacing w:before="0" w:beforeAutospacing="0" w:after="0" w:afterAutospacing="0"/>
              <w:jc w:val="both"/>
              <w:rPr>
                <w:rStyle w:val="Hipervnculo"/>
                <w:rFonts w:ascii="Arial" w:eastAsia="MS Mincho" w:hAnsi="Arial" w:cs="Arial"/>
                <w:sz w:val="16"/>
                <w:szCs w:val="16"/>
              </w:rPr>
            </w:pPr>
            <w:bookmarkStart w:id="7" w:name="_Hlk90207537"/>
            <w:bookmarkEnd w:id="0"/>
            <w:bookmarkEnd w:id="1"/>
            <w:r w:rsidRPr="00761D60">
              <w:rPr>
                <w:rFonts w:ascii="Arial" w:hAnsi="Arial" w:cs="Arial"/>
                <w:color w:val="000000"/>
                <w:sz w:val="16"/>
                <w:szCs w:val="16"/>
                <w:u w:val="single"/>
              </w:rPr>
              <w:t>Agencia de comunicación Indie PR</w:t>
            </w:r>
          </w:p>
          <w:p w14:paraId="7C4E08CB" w14:textId="77777777" w:rsidR="0036519F" w:rsidRPr="00761D60" w:rsidRDefault="0036519F" w:rsidP="00755E42">
            <w:pPr>
              <w:pStyle w:val="NormalWeb"/>
              <w:spacing w:before="0" w:beforeAutospacing="0" w:after="0" w:afterAutospacing="0"/>
              <w:jc w:val="both"/>
              <w:rPr>
                <w:rFonts w:ascii="Arial" w:hAnsi="Arial" w:cs="Arial"/>
                <w:sz w:val="16"/>
                <w:szCs w:val="16"/>
              </w:rPr>
            </w:pPr>
            <w:r w:rsidRPr="00761D60">
              <w:rPr>
                <w:rFonts w:ascii="Arial" w:hAnsi="Arial" w:cs="Arial"/>
                <w:b/>
                <w:bCs/>
                <w:color w:val="000000"/>
                <w:sz w:val="16"/>
                <w:szCs w:val="16"/>
              </w:rPr>
              <w:t>Cristina Villanueva</w:t>
            </w:r>
          </w:p>
          <w:p w14:paraId="58B45260" w14:textId="77777777" w:rsidR="0036519F" w:rsidRPr="00761D60" w:rsidRDefault="0036519F" w:rsidP="00755E42">
            <w:pPr>
              <w:pStyle w:val="NormalWeb"/>
              <w:spacing w:before="0" w:beforeAutospacing="0" w:after="0" w:afterAutospacing="0"/>
              <w:rPr>
                <w:rFonts w:ascii="Arial" w:hAnsi="Arial" w:cs="Arial"/>
                <w:color w:val="000000"/>
                <w:sz w:val="16"/>
                <w:szCs w:val="16"/>
                <w:lang w:val="it-IT"/>
              </w:rPr>
            </w:pPr>
            <w:r w:rsidRPr="00761D60">
              <w:rPr>
                <w:rFonts w:ascii="Arial" w:hAnsi="Arial" w:cs="Arial"/>
                <w:color w:val="000000"/>
                <w:sz w:val="16"/>
                <w:szCs w:val="16"/>
                <w:lang w:val="it-IT"/>
              </w:rPr>
              <w:t>Tel.: 687 14 73 60</w:t>
            </w:r>
          </w:p>
          <w:p w14:paraId="18C905D1" w14:textId="77777777" w:rsidR="0036519F" w:rsidRPr="00761D60" w:rsidRDefault="0036519F" w:rsidP="00755E42">
            <w:pPr>
              <w:pStyle w:val="NormalWeb"/>
              <w:spacing w:before="0" w:beforeAutospacing="0" w:after="0" w:afterAutospacing="0"/>
              <w:rPr>
                <w:rStyle w:val="Hipervnculo"/>
                <w:rFonts w:ascii="Arial" w:eastAsia="MS Mincho" w:hAnsi="Arial" w:cs="Arial"/>
                <w:color w:val="1155CC"/>
                <w:sz w:val="16"/>
                <w:szCs w:val="16"/>
                <w:lang w:val="it-IT"/>
              </w:rPr>
            </w:pPr>
            <w:hyperlink r:id="rId11" w:history="1">
              <w:r w:rsidRPr="00761D60">
                <w:rPr>
                  <w:rStyle w:val="Hipervnculo"/>
                  <w:rFonts w:ascii="Arial" w:eastAsia="MS Mincho" w:hAnsi="Arial" w:cs="Arial"/>
                  <w:sz w:val="16"/>
                  <w:szCs w:val="16"/>
                  <w:lang w:val="it-IT"/>
                </w:rPr>
                <w:t>cristina@indiepr.es</w:t>
              </w:r>
            </w:hyperlink>
          </w:p>
          <w:p w14:paraId="72F0EDB4" w14:textId="77777777" w:rsidR="0036519F" w:rsidRPr="00761D60" w:rsidRDefault="0036519F" w:rsidP="00755E42">
            <w:pPr>
              <w:pStyle w:val="NormalWeb"/>
              <w:spacing w:before="0" w:beforeAutospacing="0" w:after="0" w:afterAutospacing="0"/>
              <w:jc w:val="both"/>
              <w:rPr>
                <w:rStyle w:val="Hipervnculo"/>
                <w:rFonts w:ascii="Arial" w:eastAsia="MS Mincho" w:hAnsi="Arial" w:cs="Arial"/>
                <w:color w:val="1155CC"/>
                <w:sz w:val="16"/>
                <w:szCs w:val="16"/>
                <w:lang w:val="it-IT"/>
              </w:rPr>
            </w:pPr>
          </w:p>
          <w:p w14:paraId="1FDBF6DF" w14:textId="77777777" w:rsidR="0036519F" w:rsidRPr="00761D60" w:rsidRDefault="0036519F" w:rsidP="00755E42">
            <w:pPr>
              <w:pStyle w:val="NormalWeb"/>
              <w:spacing w:before="0" w:beforeAutospacing="0" w:after="0" w:afterAutospacing="0"/>
              <w:jc w:val="both"/>
              <w:rPr>
                <w:rFonts w:ascii="Arial" w:hAnsi="Arial" w:cs="Arial"/>
                <w:sz w:val="16"/>
                <w:szCs w:val="16"/>
                <w:lang w:val="it-IT"/>
              </w:rPr>
            </w:pPr>
            <w:r w:rsidRPr="00761D60">
              <w:rPr>
                <w:rFonts w:ascii="Arial" w:hAnsi="Arial" w:cs="Arial"/>
                <w:b/>
                <w:bCs/>
                <w:color w:val="000000"/>
                <w:sz w:val="16"/>
                <w:szCs w:val="16"/>
                <w:lang w:val="it-IT"/>
              </w:rPr>
              <w:t>Carmen Polo</w:t>
            </w:r>
          </w:p>
          <w:p w14:paraId="549A92D1" w14:textId="77777777" w:rsidR="0036519F" w:rsidRPr="00761D60" w:rsidRDefault="0036519F" w:rsidP="00755E42">
            <w:pPr>
              <w:pStyle w:val="NormalWeb"/>
              <w:spacing w:before="0" w:beforeAutospacing="0" w:after="0" w:afterAutospacing="0"/>
              <w:jc w:val="both"/>
              <w:rPr>
                <w:rFonts w:ascii="Arial" w:hAnsi="Arial" w:cs="Arial"/>
                <w:sz w:val="16"/>
                <w:szCs w:val="16"/>
                <w:lang w:val="it-IT"/>
              </w:rPr>
            </w:pPr>
            <w:r w:rsidRPr="00761D60">
              <w:rPr>
                <w:rFonts w:ascii="Arial" w:hAnsi="Arial" w:cs="Arial"/>
                <w:color w:val="000000"/>
                <w:sz w:val="16"/>
                <w:szCs w:val="16"/>
                <w:lang w:val="it-IT"/>
              </w:rPr>
              <w:t>Tel.: 628 88 79 64</w:t>
            </w:r>
          </w:p>
          <w:p w14:paraId="48FF328B" w14:textId="77777777" w:rsidR="0036519F" w:rsidRPr="00761D60" w:rsidRDefault="0036519F" w:rsidP="00755E42">
            <w:pPr>
              <w:jc w:val="both"/>
              <w:outlineLvl w:val="0"/>
              <w:rPr>
                <w:rFonts w:ascii="Arial" w:hAnsi="Arial" w:cs="Arial"/>
                <w:b/>
                <w:sz w:val="16"/>
                <w:szCs w:val="16"/>
                <w:lang w:val="ca-ES"/>
              </w:rPr>
            </w:pPr>
            <w:hyperlink r:id="rId12" w:history="1">
              <w:r w:rsidRPr="00761D60">
                <w:rPr>
                  <w:rStyle w:val="Hipervnculo"/>
                  <w:rFonts w:ascii="Arial" w:hAnsi="Arial" w:cs="Arial"/>
                  <w:sz w:val="16"/>
                  <w:szCs w:val="16"/>
                  <w:lang w:val="it-IT"/>
                </w:rPr>
                <w:t>cpolo@indiepr.es</w:t>
              </w:r>
            </w:hyperlink>
          </w:p>
        </w:tc>
        <w:tc>
          <w:tcPr>
            <w:tcW w:w="2977" w:type="dxa"/>
          </w:tcPr>
          <w:p w14:paraId="0142D771" w14:textId="77777777" w:rsidR="0036519F" w:rsidRPr="00761D60" w:rsidRDefault="0036519F" w:rsidP="00755E42">
            <w:pPr>
              <w:jc w:val="both"/>
              <w:rPr>
                <w:rFonts w:ascii="Arial" w:hAnsi="Arial" w:cs="Arial"/>
                <w:sz w:val="16"/>
                <w:szCs w:val="16"/>
                <w:lang w:val="ca-ES"/>
              </w:rPr>
            </w:pPr>
          </w:p>
        </w:tc>
        <w:tc>
          <w:tcPr>
            <w:tcW w:w="3028" w:type="dxa"/>
          </w:tcPr>
          <w:p w14:paraId="7C4FAE76" w14:textId="77777777" w:rsidR="0036519F" w:rsidRPr="00761D60" w:rsidRDefault="0036519F" w:rsidP="00755E42">
            <w:pPr>
              <w:jc w:val="both"/>
              <w:outlineLvl w:val="0"/>
              <w:rPr>
                <w:rFonts w:ascii="Arial" w:hAnsi="Arial" w:cs="Arial"/>
                <w:b/>
                <w:sz w:val="16"/>
                <w:szCs w:val="16"/>
              </w:rPr>
            </w:pPr>
            <w:r w:rsidRPr="00761D60">
              <w:rPr>
                <w:rFonts w:ascii="Arial" w:hAnsi="Arial" w:cs="Arial"/>
                <w:b/>
                <w:sz w:val="16"/>
                <w:szCs w:val="16"/>
              </w:rPr>
              <w:t>ManpowerGroup</w:t>
            </w:r>
          </w:p>
          <w:p w14:paraId="17E4EFB7" w14:textId="77777777" w:rsidR="0036519F" w:rsidRPr="00761D60" w:rsidRDefault="0036519F" w:rsidP="00755E42">
            <w:pPr>
              <w:jc w:val="both"/>
              <w:outlineLvl w:val="0"/>
              <w:rPr>
                <w:rFonts w:ascii="Arial" w:hAnsi="Arial" w:cs="Arial"/>
                <w:sz w:val="16"/>
                <w:szCs w:val="16"/>
              </w:rPr>
            </w:pPr>
            <w:r w:rsidRPr="00761D60">
              <w:rPr>
                <w:rFonts w:ascii="Arial" w:hAnsi="Arial" w:cs="Arial"/>
                <w:sz w:val="16"/>
                <w:szCs w:val="16"/>
              </w:rPr>
              <w:t>Dpto. Comunicación</w:t>
            </w:r>
          </w:p>
          <w:p w14:paraId="44CCEE76" w14:textId="77777777" w:rsidR="0036519F" w:rsidRPr="00761D60" w:rsidRDefault="0036519F" w:rsidP="00755E42">
            <w:pPr>
              <w:jc w:val="both"/>
              <w:rPr>
                <w:rFonts w:ascii="Arial" w:hAnsi="Arial" w:cs="Arial"/>
                <w:sz w:val="16"/>
                <w:szCs w:val="16"/>
              </w:rPr>
            </w:pPr>
            <w:r w:rsidRPr="00761D60">
              <w:rPr>
                <w:rFonts w:ascii="Arial" w:hAnsi="Arial" w:cs="Arial"/>
                <w:sz w:val="16"/>
                <w:szCs w:val="16"/>
              </w:rPr>
              <w:t>Juan Gómez Rodríguez</w:t>
            </w:r>
          </w:p>
          <w:p w14:paraId="04E4FA70" w14:textId="77777777" w:rsidR="0036519F" w:rsidRPr="00F4564F" w:rsidRDefault="0036519F" w:rsidP="00755E42">
            <w:pPr>
              <w:jc w:val="both"/>
              <w:rPr>
                <w:rFonts w:ascii="Arial" w:hAnsi="Arial" w:cs="Arial"/>
                <w:sz w:val="16"/>
                <w:szCs w:val="16"/>
                <w:lang w:val="de-DE"/>
              </w:rPr>
            </w:pPr>
            <w:r w:rsidRPr="00F4564F">
              <w:rPr>
                <w:rFonts w:ascii="Arial" w:hAnsi="Arial" w:cs="Arial"/>
                <w:sz w:val="16"/>
                <w:szCs w:val="16"/>
                <w:lang w:val="de-DE"/>
              </w:rPr>
              <w:t>Tel. 687 51 96 90</w:t>
            </w:r>
          </w:p>
          <w:p w14:paraId="5F685ECC" w14:textId="77777777" w:rsidR="0036519F" w:rsidRPr="00F4564F" w:rsidRDefault="0036519F" w:rsidP="00755E42">
            <w:pPr>
              <w:jc w:val="both"/>
              <w:rPr>
                <w:rFonts w:ascii="Arial" w:hAnsi="Arial" w:cs="Arial"/>
                <w:sz w:val="16"/>
                <w:szCs w:val="16"/>
                <w:lang w:val="de-DE"/>
              </w:rPr>
            </w:pPr>
            <w:hyperlink r:id="rId13" w:history="1">
              <w:r w:rsidRPr="00F4564F">
                <w:rPr>
                  <w:rStyle w:val="Hipervnculo"/>
                  <w:rFonts w:ascii="Arial" w:hAnsi="Arial" w:cs="Arial"/>
                  <w:sz w:val="16"/>
                  <w:szCs w:val="16"/>
                  <w:lang w:val="de-DE"/>
                </w:rPr>
                <w:t>juan.gomez@manpowergroup.es</w:t>
              </w:r>
            </w:hyperlink>
          </w:p>
        </w:tc>
      </w:tr>
      <w:bookmarkEnd w:id="7"/>
    </w:tbl>
    <w:p w14:paraId="0F55B214" w14:textId="77777777" w:rsidR="008E54AD" w:rsidRPr="00F4564F" w:rsidRDefault="008E54AD" w:rsidP="008B3A52">
      <w:pPr>
        <w:tabs>
          <w:tab w:val="right" w:pos="8838"/>
        </w:tabs>
        <w:autoSpaceDE w:val="0"/>
        <w:autoSpaceDN w:val="0"/>
        <w:adjustRightInd w:val="0"/>
        <w:jc w:val="both"/>
        <w:rPr>
          <w:rFonts w:ascii="Arial" w:hAnsi="Arial" w:cs="Arial"/>
          <w:b/>
          <w:bCs/>
          <w:sz w:val="16"/>
          <w:szCs w:val="16"/>
          <w:lang w:val="de-DE"/>
        </w:rPr>
      </w:pPr>
    </w:p>
    <w:sectPr w:rsidR="008E54AD" w:rsidRPr="00F4564F" w:rsidSect="006A61A8">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21AD8" w14:textId="77777777" w:rsidR="005870D5" w:rsidRDefault="005870D5">
      <w:r>
        <w:separator/>
      </w:r>
    </w:p>
  </w:endnote>
  <w:endnote w:type="continuationSeparator" w:id="0">
    <w:p w14:paraId="7F25BA34" w14:textId="77777777" w:rsidR="005870D5" w:rsidRDefault="0058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DD94E" w14:textId="77777777" w:rsidR="005870D5" w:rsidRDefault="005870D5">
      <w:r>
        <w:separator/>
      </w:r>
    </w:p>
  </w:footnote>
  <w:footnote w:type="continuationSeparator" w:id="0">
    <w:p w14:paraId="398B738A" w14:textId="77777777" w:rsidR="005870D5" w:rsidRDefault="00587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32438206" w:rsidR="003B09CB" w:rsidRPr="001828BD" w:rsidRDefault="001828BD" w:rsidP="001828BD">
    <w:pPr>
      <w:pStyle w:val="Encabezado"/>
    </w:pPr>
    <w:r>
      <w:rPr>
        <w:noProof/>
      </w:rPr>
      <w:drawing>
        <wp:anchor distT="0" distB="0" distL="114300" distR="114300" simplePos="0" relativeHeight="251659264" behindDoc="0" locked="0" layoutInCell="1" allowOverlap="1" wp14:anchorId="3B20B38C" wp14:editId="7094C451">
          <wp:simplePos x="0" y="0"/>
          <wp:positionH relativeFrom="column">
            <wp:posOffset>4480560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 w:numId="7" w16cid:durableId="395126067">
    <w:abstractNumId w:val="0"/>
  </w:num>
  <w:num w:numId="8" w16cid:durableId="198955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14B"/>
    <w:rsid w:val="000258CF"/>
    <w:rsid w:val="00027C5D"/>
    <w:rsid w:val="00032B0D"/>
    <w:rsid w:val="00042488"/>
    <w:rsid w:val="00057E37"/>
    <w:rsid w:val="0006279A"/>
    <w:rsid w:val="00063579"/>
    <w:rsid w:val="0006407D"/>
    <w:rsid w:val="00066C14"/>
    <w:rsid w:val="00084B60"/>
    <w:rsid w:val="000869A2"/>
    <w:rsid w:val="000906C2"/>
    <w:rsid w:val="00095B8E"/>
    <w:rsid w:val="000A1973"/>
    <w:rsid w:val="000D2B5A"/>
    <w:rsid w:val="000D6BCE"/>
    <w:rsid w:val="000E662A"/>
    <w:rsid w:val="000E71B3"/>
    <w:rsid w:val="000F1600"/>
    <w:rsid w:val="0011037D"/>
    <w:rsid w:val="0012070F"/>
    <w:rsid w:val="0012170F"/>
    <w:rsid w:val="00122E68"/>
    <w:rsid w:val="00123015"/>
    <w:rsid w:val="00124DEA"/>
    <w:rsid w:val="0012624A"/>
    <w:rsid w:val="0013008D"/>
    <w:rsid w:val="001324E2"/>
    <w:rsid w:val="00132B7B"/>
    <w:rsid w:val="00137C4E"/>
    <w:rsid w:val="00142E26"/>
    <w:rsid w:val="00145F17"/>
    <w:rsid w:val="00157558"/>
    <w:rsid w:val="0017076E"/>
    <w:rsid w:val="001741E5"/>
    <w:rsid w:val="00176074"/>
    <w:rsid w:val="00181155"/>
    <w:rsid w:val="001828BD"/>
    <w:rsid w:val="00183B91"/>
    <w:rsid w:val="0018572B"/>
    <w:rsid w:val="00186814"/>
    <w:rsid w:val="0019152E"/>
    <w:rsid w:val="00196895"/>
    <w:rsid w:val="001A2A76"/>
    <w:rsid w:val="001B13C9"/>
    <w:rsid w:val="001B18D2"/>
    <w:rsid w:val="001B2737"/>
    <w:rsid w:val="001B39AD"/>
    <w:rsid w:val="001F6139"/>
    <w:rsid w:val="002059D2"/>
    <w:rsid w:val="00212129"/>
    <w:rsid w:val="002246BA"/>
    <w:rsid w:val="00226CF7"/>
    <w:rsid w:val="00231D36"/>
    <w:rsid w:val="002331A8"/>
    <w:rsid w:val="0024317A"/>
    <w:rsid w:val="00275B27"/>
    <w:rsid w:val="00280DEC"/>
    <w:rsid w:val="002870C7"/>
    <w:rsid w:val="00294475"/>
    <w:rsid w:val="002A1736"/>
    <w:rsid w:val="002A3D92"/>
    <w:rsid w:val="002B2305"/>
    <w:rsid w:val="002B2BD8"/>
    <w:rsid w:val="002B3386"/>
    <w:rsid w:val="002B3F52"/>
    <w:rsid w:val="002B461A"/>
    <w:rsid w:val="002C02D9"/>
    <w:rsid w:val="002D032D"/>
    <w:rsid w:val="002D69D8"/>
    <w:rsid w:val="002E289B"/>
    <w:rsid w:val="002F04D0"/>
    <w:rsid w:val="003019C9"/>
    <w:rsid w:val="0031261F"/>
    <w:rsid w:val="0032424C"/>
    <w:rsid w:val="00326125"/>
    <w:rsid w:val="00331A79"/>
    <w:rsid w:val="00332D02"/>
    <w:rsid w:val="00337FD2"/>
    <w:rsid w:val="003436D7"/>
    <w:rsid w:val="00344595"/>
    <w:rsid w:val="00346E05"/>
    <w:rsid w:val="003470C8"/>
    <w:rsid w:val="003509A5"/>
    <w:rsid w:val="0035236D"/>
    <w:rsid w:val="00356679"/>
    <w:rsid w:val="00357D6E"/>
    <w:rsid w:val="0036519F"/>
    <w:rsid w:val="0038103A"/>
    <w:rsid w:val="00383F58"/>
    <w:rsid w:val="00393767"/>
    <w:rsid w:val="00396788"/>
    <w:rsid w:val="003A214F"/>
    <w:rsid w:val="003A2B29"/>
    <w:rsid w:val="003B09CB"/>
    <w:rsid w:val="003B78B0"/>
    <w:rsid w:val="003C5FF2"/>
    <w:rsid w:val="003D0E85"/>
    <w:rsid w:val="003D4F9E"/>
    <w:rsid w:val="003E08D8"/>
    <w:rsid w:val="003E34D9"/>
    <w:rsid w:val="003E3C5F"/>
    <w:rsid w:val="003E70B2"/>
    <w:rsid w:val="003F40DD"/>
    <w:rsid w:val="00401FD2"/>
    <w:rsid w:val="00407AD8"/>
    <w:rsid w:val="0041402C"/>
    <w:rsid w:val="004162DB"/>
    <w:rsid w:val="00427501"/>
    <w:rsid w:val="0043179C"/>
    <w:rsid w:val="0044035B"/>
    <w:rsid w:val="00441AA5"/>
    <w:rsid w:val="004472B2"/>
    <w:rsid w:val="004510D0"/>
    <w:rsid w:val="004612C2"/>
    <w:rsid w:val="00466751"/>
    <w:rsid w:val="00482387"/>
    <w:rsid w:val="00483F52"/>
    <w:rsid w:val="00492F25"/>
    <w:rsid w:val="00494ED4"/>
    <w:rsid w:val="00497689"/>
    <w:rsid w:val="004B596E"/>
    <w:rsid w:val="004C0F40"/>
    <w:rsid w:val="004C2618"/>
    <w:rsid w:val="004C607E"/>
    <w:rsid w:val="004C7CAC"/>
    <w:rsid w:val="004D1FAF"/>
    <w:rsid w:val="004D7F17"/>
    <w:rsid w:val="004E23C4"/>
    <w:rsid w:val="004F52B5"/>
    <w:rsid w:val="004F67EC"/>
    <w:rsid w:val="00511BED"/>
    <w:rsid w:val="00512001"/>
    <w:rsid w:val="00512ACD"/>
    <w:rsid w:val="00515D51"/>
    <w:rsid w:val="005201CA"/>
    <w:rsid w:val="005209A4"/>
    <w:rsid w:val="00527688"/>
    <w:rsid w:val="00541A7B"/>
    <w:rsid w:val="00555D20"/>
    <w:rsid w:val="00561B53"/>
    <w:rsid w:val="00564AFB"/>
    <w:rsid w:val="0057357A"/>
    <w:rsid w:val="00576DDF"/>
    <w:rsid w:val="00577B92"/>
    <w:rsid w:val="00581F0F"/>
    <w:rsid w:val="00583013"/>
    <w:rsid w:val="005838B1"/>
    <w:rsid w:val="00584891"/>
    <w:rsid w:val="005870D5"/>
    <w:rsid w:val="00590A1C"/>
    <w:rsid w:val="005939CD"/>
    <w:rsid w:val="00596187"/>
    <w:rsid w:val="005A44F4"/>
    <w:rsid w:val="005A7DB1"/>
    <w:rsid w:val="005A7E9C"/>
    <w:rsid w:val="005B2A67"/>
    <w:rsid w:val="005B5B32"/>
    <w:rsid w:val="005C1E72"/>
    <w:rsid w:val="005C33ED"/>
    <w:rsid w:val="005D17CE"/>
    <w:rsid w:val="005D1AE9"/>
    <w:rsid w:val="005D5DC2"/>
    <w:rsid w:val="005D6FF5"/>
    <w:rsid w:val="005E0545"/>
    <w:rsid w:val="005E4173"/>
    <w:rsid w:val="005F0582"/>
    <w:rsid w:val="005F1509"/>
    <w:rsid w:val="005F1CEB"/>
    <w:rsid w:val="00601B68"/>
    <w:rsid w:val="00635FD7"/>
    <w:rsid w:val="00636A81"/>
    <w:rsid w:val="00642CB5"/>
    <w:rsid w:val="0064466A"/>
    <w:rsid w:val="006515B4"/>
    <w:rsid w:val="00652342"/>
    <w:rsid w:val="006536BD"/>
    <w:rsid w:val="00655163"/>
    <w:rsid w:val="0067332C"/>
    <w:rsid w:val="00682AA2"/>
    <w:rsid w:val="006837DA"/>
    <w:rsid w:val="00687087"/>
    <w:rsid w:val="0068763B"/>
    <w:rsid w:val="00691081"/>
    <w:rsid w:val="00694B11"/>
    <w:rsid w:val="006972C0"/>
    <w:rsid w:val="006A61A8"/>
    <w:rsid w:val="006A7F27"/>
    <w:rsid w:val="006B0824"/>
    <w:rsid w:val="006B2084"/>
    <w:rsid w:val="006B6CC7"/>
    <w:rsid w:val="006B6EBB"/>
    <w:rsid w:val="006B7717"/>
    <w:rsid w:val="006E5208"/>
    <w:rsid w:val="0070063C"/>
    <w:rsid w:val="00700FE8"/>
    <w:rsid w:val="00710857"/>
    <w:rsid w:val="0071763E"/>
    <w:rsid w:val="00720BA0"/>
    <w:rsid w:val="0072269E"/>
    <w:rsid w:val="00724CBF"/>
    <w:rsid w:val="00731F03"/>
    <w:rsid w:val="00741C49"/>
    <w:rsid w:val="00743A94"/>
    <w:rsid w:val="00783F06"/>
    <w:rsid w:val="00795548"/>
    <w:rsid w:val="00796D76"/>
    <w:rsid w:val="007A0082"/>
    <w:rsid w:val="007A74B1"/>
    <w:rsid w:val="007B189E"/>
    <w:rsid w:val="007B59D1"/>
    <w:rsid w:val="007B679F"/>
    <w:rsid w:val="007C5E67"/>
    <w:rsid w:val="007D0CFF"/>
    <w:rsid w:val="007E0F84"/>
    <w:rsid w:val="007E2DCC"/>
    <w:rsid w:val="00801C70"/>
    <w:rsid w:val="00825CE9"/>
    <w:rsid w:val="00830B2F"/>
    <w:rsid w:val="00836F8E"/>
    <w:rsid w:val="008405EA"/>
    <w:rsid w:val="00841381"/>
    <w:rsid w:val="00853C2E"/>
    <w:rsid w:val="00853DF2"/>
    <w:rsid w:val="00857C81"/>
    <w:rsid w:val="008764B5"/>
    <w:rsid w:val="00882FCB"/>
    <w:rsid w:val="00885750"/>
    <w:rsid w:val="00886F0C"/>
    <w:rsid w:val="00890443"/>
    <w:rsid w:val="00891830"/>
    <w:rsid w:val="0089190E"/>
    <w:rsid w:val="008979FE"/>
    <w:rsid w:val="008A4224"/>
    <w:rsid w:val="008B14CC"/>
    <w:rsid w:val="008B155B"/>
    <w:rsid w:val="008B3A52"/>
    <w:rsid w:val="008B79F9"/>
    <w:rsid w:val="008C0114"/>
    <w:rsid w:val="008C44D3"/>
    <w:rsid w:val="008C5AB0"/>
    <w:rsid w:val="008E0924"/>
    <w:rsid w:val="008E54AD"/>
    <w:rsid w:val="008E730B"/>
    <w:rsid w:val="008F16C4"/>
    <w:rsid w:val="008F1BD7"/>
    <w:rsid w:val="00903495"/>
    <w:rsid w:val="00911D5D"/>
    <w:rsid w:val="00914020"/>
    <w:rsid w:val="00924550"/>
    <w:rsid w:val="00927308"/>
    <w:rsid w:val="00931026"/>
    <w:rsid w:val="00932CB7"/>
    <w:rsid w:val="00936982"/>
    <w:rsid w:val="00942998"/>
    <w:rsid w:val="009436E0"/>
    <w:rsid w:val="009456E3"/>
    <w:rsid w:val="00966C08"/>
    <w:rsid w:val="00970C74"/>
    <w:rsid w:val="0097165A"/>
    <w:rsid w:val="0097553E"/>
    <w:rsid w:val="00977BE7"/>
    <w:rsid w:val="00980A2D"/>
    <w:rsid w:val="0098143A"/>
    <w:rsid w:val="0098175B"/>
    <w:rsid w:val="00981941"/>
    <w:rsid w:val="00982693"/>
    <w:rsid w:val="00991A90"/>
    <w:rsid w:val="009A0E87"/>
    <w:rsid w:val="009A1EB0"/>
    <w:rsid w:val="009A3526"/>
    <w:rsid w:val="009A6F8A"/>
    <w:rsid w:val="009B2C9F"/>
    <w:rsid w:val="009C2675"/>
    <w:rsid w:val="009C4562"/>
    <w:rsid w:val="009C5491"/>
    <w:rsid w:val="009C610D"/>
    <w:rsid w:val="009D2871"/>
    <w:rsid w:val="009D2EF1"/>
    <w:rsid w:val="009D3CF7"/>
    <w:rsid w:val="009D4CEF"/>
    <w:rsid w:val="009E182B"/>
    <w:rsid w:val="009F01EA"/>
    <w:rsid w:val="009F2A76"/>
    <w:rsid w:val="009F301A"/>
    <w:rsid w:val="009F33E5"/>
    <w:rsid w:val="009F7DB9"/>
    <w:rsid w:val="009F7E1C"/>
    <w:rsid w:val="00A01277"/>
    <w:rsid w:val="00A02C34"/>
    <w:rsid w:val="00A346D1"/>
    <w:rsid w:val="00A41710"/>
    <w:rsid w:val="00A45200"/>
    <w:rsid w:val="00A458AD"/>
    <w:rsid w:val="00A50B4D"/>
    <w:rsid w:val="00A52E71"/>
    <w:rsid w:val="00A54B87"/>
    <w:rsid w:val="00A56426"/>
    <w:rsid w:val="00A574BF"/>
    <w:rsid w:val="00A7208B"/>
    <w:rsid w:val="00A75968"/>
    <w:rsid w:val="00A81170"/>
    <w:rsid w:val="00A84DE6"/>
    <w:rsid w:val="00AB24A2"/>
    <w:rsid w:val="00AE0726"/>
    <w:rsid w:val="00AF11D7"/>
    <w:rsid w:val="00AF2C8A"/>
    <w:rsid w:val="00AF735D"/>
    <w:rsid w:val="00B05CD9"/>
    <w:rsid w:val="00B05D48"/>
    <w:rsid w:val="00B116AF"/>
    <w:rsid w:val="00B12B48"/>
    <w:rsid w:val="00B14FF8"/>
    <w:rsid w:val="00B179B5"/>
    <w:rsid w:val="00B22902"/>
    <w:rsid w:val="00B32DA9"/>
    <w:rsid w:val="00B33B9D"/>
    <w:rsid w:val="00B43656"/>
    <w:rsid w:val="00B5158D"/>
    <w:rsid w:val="00B60986"/>
    <w:rsid w:val="00B628EE"/>
    <w:rsid w:val="00B8069B"/>
    <w:rsid w:val="00B87F8E"/>
    <w:rsid w:val="00B963D0"/>
    <w:rsid w:val="00BB1160"/>
    <w:rsid w:val="00BB39D9"/>
    <w:rsid w:val="00BB66B8"/>
    <w:rsid w:val="00BC0EE7"/>
    <w:rsid w:val="00BC45B7"/>
    <w:rsid w:val="00BC46BE"/>
    <w:rsid w:val="00BD5663"/>
    <w:rsid w:val="00BE22AA"/>
    <w:rsid w:val="00BF2547"/>
    <w:rsid w:val="00BF2A9C"/>
    <w:rsid w:val="00BF5E11"/>
    <w:rsid w:val="00C02974"/>
    <w:rsid w:val="00C122AC"/>
    <w:rsid w:val="00C41541"/>
    <w:rsid w:val="00C4624D"/>
    <w:rsid w:val="00C46CB3"/>
    <w:rsid w:val="00C536C9"/>
    <w:rsid w:val="00C549B2"/>
    <w:rsid w:val="00C61314"/>
    <w:rsid w:val="00C7314E"/>
    <w:rsid w:val="00C73CB1"/>
    <w:rsid w:val="00C74D41"/>
    <w:rsid w:val="00C82EFD"/>
    <w:rsid w:val="00C83097"/>
    <w:rsid w:val="00C91CCE"/>
    <w:rsid w:val="00C926CF"/>
    <w:rsid w:val="00C97060"/>
    <w:rsid w:val="00CA0905"/>
    <w:rsid w:val="00CA50B7"/>
    <w:rsid w:val="00CB6B70"/>
    <w:rsid w:val="00CC1F87"/>
    <w:rsid w:val="00CC3472"/>
    <w:rsid w:val="00CF74FF"/>
    <w:rsid w:val="00D02D48"/>
    <w:rsid w:val="00D05483"/>
    <w:rsid w:val="00D206CE"/>
    <w:rsid w:val="00D251C6"/>
    <w:rsid w:val="00D27829"/>
    <w:rsid w:val="00D27B5C"/>
    <w:rsid w:val="00D3571D"/>
    <w:rsid w:val="00D35CA7"/>
    <w:rsid w:val="00D62DA8"/>
    <w:rsid w:val="00D63AB2"/>
    <w:rsid w:val="00D64482"/>
    <w:rsid w:val="00D7168F"/>
    <w:rsid w:val="00D73001"/>
    <w:rsid w:val="00D7641E"/>
    <w:rsid w:val="00D865AD"/>
    <w:rsid w:val="00D90EF8"/>
    <w:rsid w:val="00D92B75"/>
    <w:rsid w:val="00DA225F"/>
    <w:rsid w:val="00DB0F1B"/>
    <w:rsid w:val="00DB45BA"/>
    <w:rsid w:val="00DB5EEF"/>
    <w:rsid w:val="00DC304A"/>
    <w:rsid w:val="00DC6709"/>
    <w:rsid w:val="00DD53A1"/>
    <w:rsid w:val="00DE381F"/>
    <w:rsid w:val="00DE502B"/>
    <w:rsid w:val="00DF4C04"/>
    <w:rsid w:val="00DF6943"/>
    <w:rsid w:val="00E10601"/>
    <w:rsid w:val="00E12E1F"/>
    <w:rsid w:val="00E13BED"/>
    <w:rsid w:val="00E14B59"/>
    <w:rsid w:val="00E269C3"/>
    <w:rsid w:val="00E36DF7"/>
    <w:rsid w:val="00E375F1"/>
    <w:rsid w:val="00E64F9B"/>
    <w:rsid w:val="00E66280"/>
    <w:rsid w:val="00E675C5"/>
    <w:rsid w:val="00E845CF"/>
    <w:rsid w:val="00E87B2B"/>
    <w:rsid w:val="00E91772"/>
    <w:rsid w:val="00EA7C7E"/>
    <w:rsid w:val="00EB283B"/>
    <w:rsid w:val="00ED4D55"/>
    <w:rsid w:val="00ED543B"/>
    <w:rsid w:val="00ED788C"/>
    <w:rsid w:val="00EE2B53"/>
    <w:rsid w:val="00EE7830"/>
    <w:rsid w:val="00F00E57"/>
    <w:rsid w:val="00F03D39"/>
    <w:rsid w:val="00F0652C"/>
    <w:rsid w:val="00F0730E"/>
    <w:rsid w:val="00F12D89"/>
    <w:rsid w:val="00F12F38"/>
    <w:rsid w:val="00F21EE9"/>
    <w:rsid w:val="00F24D52"/>
    <w:rsid w:val="00F26D2A"/>
    <w:rsid w:val="00F34988"/>
    <w:rsid w:val="00F3670F"/>
    <w:rsid w:val="00F4008A"/>
    <w:rsid w:val="00F432F1"/>
    <w:rsid w:val="00F45079"/>
    <w:rsid w:val="00F4564F"/>
    <w:rsid w:val="00F45C5A"/>
    <w:rsid w:val="00F5395E"/>
    <w:rsid w:val="00F5559A"/>
    <w:rsid w:val="00F6573D"/>
    <w:rsid w:val="00F72967"/>
    <w:rsid w:val="00F73932"/>
    <w:rsid w:val="00F73A73"/>
    <w:rsid w:val="00F74E6C"/>
    <w:rsid w:val="00F761C4"/>
    <w:rsid w:val="00F82ABD"/>
    <w:rsid w:val="00F87D9D"/>
    <w:rsid w:val="00F93A2E"/>
    <w:rsid w:val="00F95E09"/>
    <w:rsid w:val="00F963D2"/>
    <w:rsid w:val="00FA2A48"/>
    <w:rsid w:val="00FB561C"/>
    <w:rsid w:val="00FB69D7"/>
    <w:rsid w:val="00FC3937"/>
    <w:rsid w:val="00FC7D4B"/>
    <w:rsid w:val="00FE0A8D"/>
    <w:rsid w:val="00FF00F2"/>
    <w:rsid w:val="00FF1C0C"/>
    <w:rsid w:val="00FF4E94"/>
    <w:rsid w:val="00FF57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8742">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63859236">
      <w:bodyDiv w:val="1"/>
      <w:marLeft w:val="0"/>
      <w:marRight w:val="0"/>
      <w:marTop w:val="0"/>
      <w:marBottom w:val="0"/>
      <w:divBdr>
        <w:top w:val="none" w:sz="0" w:space="0" w:color="auto"/>
        <w:left w:val="none" w:sz="0" w:space="0" w:color="auto"/>
        <w:bottom w:val="none" w:sz="0" w:space="0" w:color="auto"/>
        <w:right w:val="none" w:sz="0" w:space="0" w:color="auto"/>
      </w:divBdr>
    </w:div>
    <w:div w:id="181746330">
      <w:bodyDiv w:val="1"/>
      <w:marLeft w:val="0"/>
      <w:marRight w:val="0"/>
      <w:marTop w:val="0"/>
      <w:marBottom w:val="0"/>
      <w:divBdr>
        <w:top w:val="none" w:sz="0" w:space="0" w:color="auto"/>
        <w:left w:val="none" w:sz="0" w:space="0" w:color="auto"/>
        <w:bottom w:val="none" w:sz="0" w:space="0" w:color="auto"/>
        <w:right w:val="none" w:sz="0" w:space="0" w:color="auto"/>
      </w:divBdr>
    </w:div>
    <w:div w:id="303435184">
      <w:bodyDiv w:val="1"/>
      <w:marLeft w:val="0"/>
      <w:marRight w:val="0"/>
      <w:marTop w:val="0"/>
      <w:marBottom w:val="0"/>
      <w:divBdr>
        <w:top w:val="none" w:sz="0" w:space="0" w:color="auto"/>
        <w:left w:val="none" w:sz="0" w:space="0" w:color="auto"/>
        <w:bottom w:val="none" w:sz="0" w:space="0" w:color="auto"/>
        <w:right w:val="none" w:sz="0" w:space="0" w:color="auto"/>
      </w:divBdr>
    </w:div>
    <w:div w:id="315496941">
      <w:bodyDiv w:val="1"/>
      <w:marLeft w:val="0"/>
      <w:marRight w:val="0"/>
      <w:marTop w:val="0"/>
      <w:marBottom w:val="0"/>
      <w:divBdr>
        <w:top w:val="none" w:sz="0" w:space="0" w:color="auto"/>
        <w:left w:val="none" w:sz="0" w:space="0" w:color="auto"/>
        <w:bottom w:val="none" w:sz="0" w:space="0" w:color="auto"/>
        <w:right w:val="none" w:sz="0" w:space="0" w:color="auto"/>
      </w:divBdr>
    </w:div>
    <w:div w:id="32324677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8972841">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69633282">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569120476">
      <w:bodyDiv w:val="1"/>
      <w:marLeft w:val="0"/>
      <w:marRight w:val="0"/>
      <w:marTop w:val="0"/>
      <w:marBottom w:val="0"/>
      <w:divBdr>
        <w:top w:val="none" w:sz="0" w:space="0" w:color="auto"/>
        <w:left w:val="none" w:sz="0" w:space="0" w:color="auto"/>
        <w:bottom w:val="none" w:sz="0" w:space="0" w:color="auto"/>
        <w:right w:val="none" w:sz="0" w:space="0" w:color="auto"/>
      </w:divBdr>
    </w:div>
    <w:div w:id="582685774">
      <w:bodyDiv w:val="1"/>
      <w:marLeft w:val="0"/>
      <w:marRight w:val="0"/>
      <w:marTop w:val="0"/>
      <w:marBottom w:val="0"/>
      <w:divBdr>
        <w:top w:val="none" w:sz="0" w:space="0" w:color="auto"/>
        <w:left w:val="none" w:sz="0" w:space="0" w:color="auto"/>
        <w:bottom w:val="none" w:sz="0" w:space="0" w:color="auto"/>
        <w:right w:val="none" w:sz="0" w:space="0" w:color="auto"/>
      </w:divBdr>
    </w:div>
    <w:div w:id="595290859">
      <w:bodyDiv w:val="1"/>
      <w:marLeft w:val="0"/>
      <w:marRight w:val="0"/>
      <w:marTop w:val="0"/>
      <w:marBottom w:val="0"/>
      <w:divBdr>
        <w:top w:val="none" w:sz="0" w:space="0" w:color="auto"/>
        <w:left w:val="none" w:sz="0" w:space="0" w:color="auto"/>
        <w:bottom w:val="none" w:sz="0" w:space="0" w:color="auto"/>
        <w:right w:val="none" w:sz="0" w:space="0" w:color="auto"/>
      </w:divBdr>
    </w:div>
    <w:div w:id="619188871">
      <w:bodyDiv w:val="1"/>
      <w:marLeft w:val="0"/>
      <w:marRight w:val="0"/>
      <w:marTop w:val="0"/>
      <w:marBottom w:val="0"/>
      <w:divBdr>
        <w:top w:val="none" w:sz="0" w:space="0" w:color="auto"/>
        <w:left w:val="none" w:sz="0" w:space="0" w:color="auto"/>
        <w:bottom w:val="none" w:sz="0" w:space="0" w:color="auto"/>
        <w:right w:val="none" w:sz="0" w:space="0" w:color="auto"/>
      </w:divBdr>
    </w:div>
    <w:div w:id="630213393">
      <w:bodyDiv w:val="1"/>
      <w:marLeft w:val="0"/>
      <w:marRight w:val="0"/>
      <w:marTop w:val="0"/>
      <w:marBottom w:val="0"/>
      <w:divBdr>
        <w:top w:val="none" w:sz="0" w:space="0" w:color="auto"/>
        <w:left w:val="none" w:sz="0" w:space="0" w:color="auto"/>
        <w:bottom w:val="none" w:sz="0" w:space="0" w:color="auto"/>
        <w:right w:val="none" w:sz="0" w:space="0" w:color="auto"/>
      </w:divBdr>
    </w:div>
    <w:div w:id="64431058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59716014">
      <w:bodyDiv w:val="1"/>
      <w:marLeft w:val="0"/>
      <w:marRight w:val="0"/>
      <w:marTop w:val="0"/>
      <w:marBottom w:val="0"/>
      <w:divBdr>
        <w:top w:val="none" w:sz="0" w:space="0" w:color="auto"/>
        <w:left w:val="none" w:sz="0" w:space="0" w:color="auto"/>
        <w:bottom w:val="none" w:sz="0" w:space="0" w:color="auto"/>
        <w:right w:val="none" w:sz="0" w:space="0" w:color="auto"/>
      </w:divBdr>
    </w:div>
    <w:div w:id="767505954">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42819627">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41454728">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01085747">
      <w:bodyDiv w:val="1"/>
      <w:marLeft w:val="0"/>
      <w:marRight w:val="0"/>
      <w:marTop w:val="0"/>
      <w:marBottom w:val="0"/>
      <w:divBdr>
        <w:top w:val="none" w:sz="0" w:space="0" w:color="auto"/>
        <w:left w:val="none" w:sz="0" w:space="0" w:color="auto"/>
        <w:bottom w:val="none" w:sz="0" w:space="0" w:color="auto"/>
        <w:right w:val="none" w:sz="0" w:space="0" w:color="auto"/>
      </w:divBdr>
    </w:div>
    <w:div w:id="1021276977">
      <w:bodyDiv w:val="1"/>
      <w:marLeft w:val="0"/>
      <w:marRight w:val="0"/>
      <w:marTop w:val="0"/>
      <w:marBottom w:val="0"/>
      <w:divBdr>
        <w:top w:val="none" w:sz="0" w:space="0" w:color="auto"/>
        <w:left w:val="none" w:sz="0" w:space="0" w:color="auto"/>
        <w:bottom w:val="none" w:sz="0" w:space="0" w:color="auto"/>
        <w:right w:val="none" w:sz="0" w:space="0" w:color="auto"/>
      </w:divBdr>
      <w:divsChild>
        <w:div w:id="829442275">
          <w:marLeft w:val="0"/>
          <w:marRight w:val="0"/>
          <w:marTop w:val="0"/>
          <w:marBottom w:val="0"/>
          <w:divBdr>
            <w:top w:val="none" w:sz="0" w:space="0" w:color="auto"/>
            <w:left w:val="none" w:sz="0" w:space="0" w:color="auto"/>
            <w:bottom w:val="none" w:sz="0" w:space="0" w:color="auto"/>
            <w:right w:val="none" w:sz="0" w:space="0" w:color="auto"/>
          </w:divBdr>
          <w:divsChild>
            <w:div w:id="662196144">
              <w:marLeft w:val="0"/>
              <w:marRight w:val="0"/>
              <w:marTop w:val="0"/>
              <w:marBottom w:val="0"/>
              <w:divBdr>
                <w:top w:val="none" w:sz="0" w:space="0" w:color="auto"/>
                <w:left w:val="none" w:sz="0" w:space="0" w:color="auto"/>
                <w:bottom w:val="none" w:sz="0" w:space="0" w:color="auto"/>
                <w:right w:val="none" w:sz="0" w:space="0" w:color="auto"/>
              </w:divBdr>
              <w:divsChild>
                <w:div w:id="102652505">
                  <w:marLeft w:val="0"/>
                  <w:marRight w:val="0"/>
                  <w:marTop w:val="0"/>
                  <w:marBottom w:val="0"/>
                  <w:divBdr>
                    <w:top w:val="none" w:sz="0" w:space="0" w:color="auto"/>
                    <w:left w:val="none" w:sz="0" w:space="0" w:color="auto"/>
                    <w:bottom w:val="none" w:sz="0" w:space="0" w:color="auto"/>
                    <w:right w:val="none" w:sz="0" w:space="0" w:color="auto"/>
                  </w:divBdr>
                  <w:divsChild>
                    <w:div w:id="138697301">
                      <w:marLeft w:val="0"/>
                      <w:marRight w:val="0"/>
                      <w:marTop w:val="0"/>
                      <w:marBottom w:val="0"/>
                      <w:divBdr>
                        <w:top w:val="none" w:sz="0" w:space="0" w:color="auto"/>
                        <w:left w:val="none" w:sz="0" w:space="0" w:color="auto"/>
                        <w:bottom w:val="none" w:sz="0" w:space="0" w:color="auto"/>
                        <w:right w:val="none" w:sz="0" w:space="0" w:color="auto"/>
                      </w:divBdr>
                      <w:divsChild>
                        <w:div w:id="1409426611">
                          <w:marLeft w:val="0"/>
                          <w:marRight w:val="0"/>
                          <w:marTop w:val="0"/>
                          <w:marBottom w:val="0"/>
                          <w:divBdr>
                            <w:top w:val="none" w:sz="0" w:space="0" w:color="auto"/>
                            <w:left w:val="none" w:sz="0" w:space="0" w:color="auto"/>
                            <w:bottom w:val="none" w:sz="0" w:space="0" w:color="auto"/>
                            <w:right w:val="none" w:sz="0" w:space="0" w:color="auto"/>
                          </w:divBdr>
                          <w:divsChild>
                            <w:div w:id="6802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17151">
      <w:bodyDiv w:val="1"/>
      <w:marLeft w:val="0"/>
      <w:marRight w:val="0"/>
      <w:marTop w:val="0"/>
      <w:marBottom w:val="0"/>
      <w:divBdr>
        <w:top w:val="none" w:sz="0" w:space="0" w:color="auto"/>
        <w:left w:val="none" w:sz="0" w:space="0" w:color="auto"/>
        <w:bottom w:val="none" w:sz="0" w:space="0" w:color="auto"/>
        <w:right w:val="none" w:sz="0" w:space="0" w:color="auto"/>
      </w:divBdr>
    </w:div>
    <w:div w:id="1078674205">
      <w:bodyDiv w:val="1"/>
      <w:marLeft w:val="0"/>
      <w:marRight w:val="0"/>
      <w:marTop w:val="0"/>
      <w:marBottom w:val="0"/>
      <w:divBdr>
        <w:top w:val="none" w:sz="0" w:space="0" w:color="auto"/>
        <w:left w:val="none" w:sz="0" w:space="0" w:color="auto"/>
        <w:bottom w:val="none" w:sz="0" w:space="0" w:color="auto"/>
        <w:right w:val="none" w:sz="0" w:space="0" w:color="auto"/>
      </w:divBdr>
    </w:div>
    <w:div w:id="1082262863">
      <w:bodyDiv w:val="1"/>
      <w:marLeft w:val="0"/>
      <w:marRight w:val="0"/>
      <w:marTop w:val="0"/>
      <w:marBottom w:val="0"/>
      <w:divBdr>
        <w:top w:val="none" w:sz="0" w:space="0" w:color="auto"/>
        <w:left w:val="none" w:sz="0" w:space="0" w:color="auto"/>
        <w:bottom w:val="none" w:sz="0" w:space="0" w:color="auto"/>
        <w:right w:val="none" w:sz="0" w:space="0" w:color="auto"/>
      </w:divBdr>
    </w:div>
    <w:div w:id="1087460134">
      <w:bodyDiv w:val="1"/>
      <w:marLeft w:val="0"/>
      <w:marRight w:val="0"/>
      <w:marTop w:val="0"/>
      <w:marBottom w:val="0"/>
      <w:divBdr>
        <w:top w:val="none" w:sz="0" w:space="0" w:color="auto"/>
        <w:left w:val="none" w:sz="0" w:space="0" w:color="auto"/>
        <w:bottom w:val="none" w:sz="0" w:space="0" w:color="auto"/>
        <w:right w:val="none" w:sz="0" w:space="0" w:color="auto"/>
      </w:divBdr>
      <w:divsChild>
        <w:div w:id="1417820359">
          <w:marLeft w:val="0"/>
          <w:marRight w:val="0"/>
          <w:marTop w:val="0"/>
          <w:marBottom w:val="0"/>
          <w:divBdr>
            <w:top w:val="none" w:sz="0" w:space="0" w:color="auto"/>
            <w:left w:val="none" w:sz="0" w:space="0" w:color="auto"/>
            <w:bottom w:val="none" w:sz="0" w:space="0" w:color="auto"/>
            <w:right w:val="none" w:sz="0" w:space="0" w:color="auto"/>
          </w:divBdr>
          <w:divsChild>
            <w:div w:id="749621386">
              <w:marLeft w:val="0"/>
              <w:marRight w:val="0"/>
              <w:marTop w:val="0"/>
              <w:marBottom w:val="0"/>
              <w:divBdr>
                <w:top w:val="none" w:sz="0" w:space="0" w:color="auto"/>
                <w:left w:val="none" w:sz="0" w:space="0" w:color="auto"/>
                <w:bottom w:val="none" w:sz="0" w:space="0" w:color="auto"/>
                <w:right w:val="none" w:sz="0" w:space="0" w:color="auto"/>
              </w:divBdr>
              <w:divsChild>
                <w:div w:id="991714759">
                  <w:marLeft w:val="0"/>
                  <w:marRight w:val="0"/>
                  <w:marTop w:val="0"/>
                  <w:marBottom w:val="0"/>
                  <w:divBdr>
                    <w:top w:val="none" w:sz="0" w:space="0" w:color="auto"/>
                    <w:left w:val="none" w:sz="0" w:space="0" w:color="auto"/>
                    <w:bottom w:val="none" w:sz="0" w:space="0" w:color="auto"/>
                    <w:right w:val="none" w:sz="0" w:space="0" w:color="auto"/>
                  </w:divBdr>
                  <w:divsChild>
                    <w:div w:id="206534329">
                      <w:marLeft w:val="0"/>
                      <w:marRight w:val="0"/>
                      <w:marTop w:val="0"/>
                      <w:marBottom w:val="0"/>
                      <w:divBdr>
                        <w:top w:val="none" w:sz="0" w:space="0" w:color="auto"/>
                        <w:left w:val="none" w:sz="0" w:space="0" w:color="auto"/>
                        <w:bottom w:val="none" w:sz="0" w:space="0" w:color="auto"/>
                        <w:right w:val="none" w:sz="0" w:space="0" w:color="auto"/>
                      </w:divBdr>
                      <w:divsChild>
                        <w:div w:id="1811169818">
                          <w:marLeft w:val="0"/>
                          <w:marRight w:val="0"/>
                          <w:marTop w:val="0"/>
                          <w:marBottom w:val="0"/>
                          <w:divBdr>
                            <w:top w:val="none" w:sz="0" w:space="0" w:color="auto"/>
                            <w:left w:val="none" w:sz="0" w:space="0" w:color="auto"/>
                            <w:bottom w:val="none" w:sz="0" w:space="0" w:color="auto"/>
                            <w:right w:val="none" w:sz="0" w:space="0" w:color="auto"/>
                          </w:divBdr>
                          <w:divsChild>
                            <w:div w:id="2205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766683">
      <w:bodyDiv w:val="1"/>
      <w:marLeft w:val="0"/>
      <w:marRight w:val="0"/>
      <w:marTop w:val="0"/>
      <w:marBottom w:val="0"/>
      <w:divBdr>
        <w:top w:val="none" w:sz="0" w:space="0" w:color="auto"/>
        <w:left w:val="none" w:sz="0" w:space="0" w:color="auto"/>
        <w:bottom w:val="none" w:sz="0" w:space="0" w:color="auto"/>
        <w:right w:val="none" w:sz="0" w:space="0" w:color="auto"/>
      </w:divBdr>
    </w:div>
    <w:div w:id="1198662046">
      <w:bodyDiv w:val="1"/>
      <w:marLeft w:val="0"/>
      <w:marRight w:val="0"/>
      <w:marTop w:val="0"/>
      <w:marBottom w:val="0"/>
      <w:divBdr>
        <w:top w:val="none" w:sz="0" w:space="0" w:color="auto"/>
        <w:left w:val="none" w:sz="0" w:space="0" w:color="auto"/>
        <w:bottom w:val="none" w:sz="0" w:space="0" w:color="auto"/>
        <w:right w:val="none" w:sz="0" w:space="0" w:color="auto"/>
      </w:divBdr>
    </w:div>
    <w:div w:id="1219635609">
      <w:bodyDiv w:val="1"/>
      <w:marLeft w:val="0"/>
      <w:marRight w:val="0"/>
      <w:marTop w:val="0"/>
      <w:marBottom w:val="0"/>
      <w:divBdr>
        <w:top w:val="none" w:sz="0" w:space="0" w:color="auto"/>
        <w:left w:val="none" w:sz="0" w:space="0" w:color="auto"/>
        <w:bottom w:val="none" w:sz="0" w:space="0" w:color="auto"/>
        <w:right w:val="none" w:sz="0" w:space="0" w:color="auto"/>
      </w:divBdr>
    </w:div>
    <w:div w:id="1292979096">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73576100">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26081467">
      <w:bodyDiv w:val="1"/>
      <w:marLeft w:val="0"/>
      <w:marRight w:val="0"/>
      <w:marTop w:val="0"/>
      <w:marBottom w:val="0"/>
      <w:divBdr>
        <w:top w:val="none" w:sz="0" w:space="0" w:color="auto"/>
        <w:left w:val="none" w:sz="0" w:space="0" w:color="auto"/>
        <w:bottom w:val="none" w:sz="0" w:space="0" w:color="auto"/>
        <w:right w:val="none" w:sz="0" w:space="0" w:color="auto"/>
      </w:divBdr>
    </w:div>
    <w:div w:id="1682275768">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07158861">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8859375">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880624768">
      <w:bodyDiv w:val="1"/>
      <w:marLeft w:val="0"/>
      <w:marRight w:val="0"/>
      <w:marTop w:val="0"/>
      <w:marBottom w:val="0"/>
      <w:divBdr>
        <w:top w:val="none" w:sz="0" w:space="0" w:color="auto"/>
        <w:left w:val="none" w:sz="0" w:space="0" w:color="auto"/>
        <w:bottom w:val="none" w:sz="0" w:space="0" w:color="auto"/>
        <w:right w:val="none" w:sz="0" w:space="0" w:color="auto"/>
      </w:divBdr>
    </w:div>
    <w:div w:id="1913201708">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 w:id="21394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olo@indiep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917</Words>
  <Characters>5049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5</cp:revision>
  <cp:lastPrinted>2022-12-19T17:21:00Z</cp:lastPrinted>
  <dcterms:created xsi:type="dcterms:W3CDTF">2024-12-13T10:42:00Z</dcterms:created>
  <dcterms:modified xsi:type="dcterms:W3CDTF">2024-12-17T09:42:00Z</dcterms:modified>
</cp:coreProperties>
</file>