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B5C8F" w14:textId="33D87468" w:rsidR="001A2A76" w:rsidRDefault="001A2A76" w:rsidP="00195CAB">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de Proyección de Empleo de ManpowerGroup para </w:t>
      </w:r>
      <w:r w:rsidR="003B07C9">
        <w:rPr>
          <w:rFonts w:ascii="Arial" w:eastAsia="Arial" w:hAnsi="Arial" w:cs="Arial"/>
          <w:b/>
          <w:color w:val="000000"/>
          <w:sz w:val="20"/>
          <w:szCs w:val="20"/>
          <w:u w:val="single"/>
        </w:rPr>
        <w:t>octubre</w:t>
      </w:r>
      <w:r w:rsidR="009164C2">
        <w:rPr>
          <w:rFonts w:ascii="Arial" w:eastAsia="Arial" w:hAnsi="Arial" w:cs="Arial"/>
          <w:b/>
          <w:color w:val="000000"/>
          <w:sz w:val="20"/>
          <w:szCs w:val="20"/>
          <w:u w:val="single"/>
        </w:rPr>
        <w:t>-</w:t>
      </w:r>
      <w:r w:rsidR="003B07C9">
        <w:rPr>
          <w:rFonts w:ascii="Arial" w:eastAsia="Arial" w:hAnsi="Arial" w:cs="Arial"/>
          <w:b/>
          <w:color w:val="000000"/>
          <w:sz w:val="20"/>
          <w:szCs w:val="20"/>
          <w:u w:val="single"/>
        </w:rPr>
        <w:t>diciembre</w:t>
      </w:r>
      <w:r w:rsidR="009164C2">
        <w:rPr>
          <w:rFonts w:ascii="Arial" w:eastAsia="Arial" w:hAnsi="Arial" w:cs="Arial"/>
          <w:b/>
          <w:color w:val="000000"/>
          <w:sz w:val="20"/>
          <w:szCs w:val="20"/>
          <w:u w:val="single"/>
        </w:rPr>
        <w:t xml:space="preserve"> </w:t>
      </w:r>
      <w:r w:rsidRPr="00687087">
        <w:rPr>
          <w:rFonts w:ascii="Arial" w:eastAsia="Arial" w:hAnsi="Arial" w:cs="Arial"/>
          <w:b/>
          <w:color w:val="000000"/>
          <w:sz w:val="20"/>
          <w:szCs w:val="20"/>
          <w:u w:val="single"/>
        </w:rPr>
        <w:t>202</w:t>
      </w:r>
      <w:r w:rsidR="00857735">
        <w:rPr>
          <w:rFonts w:ascii="Arial" w:eastAsia="Arial" w:hAnsi="Arial" w:cs="Arial"/>
          <w:b/>
          <w:color w:val="000000"/>
          <w:sz w:val="20"/>
          <w:szCs w:val="20"/>
          <w:u w:val="single"/>
        </w:rPr>
        <w:t>5</w:t>
      </w:r>
    </w:p>
    <w:p w14:paraId="52328C8E" w14:textId="77777777" w:rsidR="00D076F3" w:rsidRPr="00687087" w:rsidRDefault="00D076F3" w:rsidP="00195CAB">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1A5FB56D" w14:textId="37BEEFB7" w:rsidR="008D27B6" w:rsidRDefault="00235658" w:rsidP="00D32B3E">
      <w:pPr>
        <w:pStyle w:val="Prrafodelista"/>
        <w:spacing w:before="120" w:line="288" w:lineRule="auto"/>
        <w:ind w:left="0"/>
        <w:contextualSpacing w:val="0"/>
        <w:jc w:val="center"/>
        <w:rPr>
          <w:rFonts w:ascii="Arial" w:eastAsia="Arial" w:hAnsi="Arial" w:cs="Arial"/>
          <w:b/>
          <w:bCs/>
          <w:sz w:val="36"/>
          <w:szCs w:val="36"/>
        </w:rPr>
      </w:pPr>
      <w:bookmarkStart w:id="0" w:name="_Hlk113557077"/>
      <w:r>
        <w:rPr>
          <w:rFonts w:ascii="Arial" w:eastAsia="Arial" w:hAnsi="Arial" w:cs="Arial"/>
          <w:b/>
          <w:bCs/>
          <w:sz w:val="36"/>
          <w:szCs w:val="36"/>
        </w:rPr>
        <w:t>Las empresas</w:t>
      </w:r>
      <w:r w:rsidR="00533EC8" w:rsidRPr="00533EC8">
        <w:rPr>
          <w:rFonts w:ascii="Arial" w:eastAsia="Arial" w:hAnsi="Arial" w:cs="Arial"/>
          <w:b/>
          <w:bCs/>
          <w:sz w:val="36"/>
          <w:szCs w:val="36"/>
        </w:rPr>
        <w:t xml:space="preserve"> </w:t>
      </w:r>
      <w:r w:rsidR="00D32B3E">
        <w:rPr>
          <w:rFonts w:ascii="Arial" w:eastAsia="Arial" w:hAnsi="Arial" w:cs="Arial"/>
          <w:b/>
          <w:bCs/>
          <w:sz w:val="36"/>
          <w:szCs w:val="36"/>
        </w:rPr>
        <w:t>cierra</w:t>
      </w:r>
      <w:r>
        <w:rPr>
          <w:rFonts w:ascii="Arial" w:eastAsia="Arial" w:hAnsi="Arial" w:cs="Arial"/>
          <w:b/>
          <w:bCs/>
          <w:sz w:val="36"/>
          <w:szCs w:val="36"/>
        </w:rPr>
        <w:t>n</w:t>
      </w:r>
      <w:r w:rsidR="00D32B3E">
        <w:rPr>
          <w:rFonts w:ascii="Arial" w:eastAsia="Arial" w:hAnsi="Arial" w:cs="Arial"/>
          <w:b/>
          <w:bCs/>
          <w:sz w:val="36"/>
          <w:szCs w:val="36"/>
        </w:rPr>
        <w:t xml:space="preserve"> el año con optimismo, con unas </w:t>
      </w:r>
      <w:r w:rsidR="00533EC8" w:rsidRPr="00533EC8">
        <w:rPr>
          <w:rFonts w:ascii="Arial" w:eastAsia="Arial" w:hAnsi="Arial" w:cs="Arial"/>
          <w:b/>
          <w:bCs/>
          <w:sz w:val="36"/>
          <w:szCs w:val="36"/>
        </w:rPr>
        <w:t xml:space="preserve">previsiones </w:t>
      </w:r>
      <w:r w:rsidR="00D32B3E">
        <w:rPr>
          <w:rFonts w:ascii="Arial" w:eastAsia="Arial" w:hAnsi="Arial" w:cs="Arial"/>
          <w:b/>
          <w:bCs/>
          <w:sz w:val="36"/>
          <w:szCs w:val="36"/>
        </w:rPr>
        <w:t xml:space="preserve">de generación de empleo del </w:t>
      </w:r>
      <w:r w:rsidR="00533EC8" w:rsidRPr="00533EC8">
        <w:rPr>
          <w:rFonts w:ascii="Arial" w:eastAsia="Arial" w:hAnsi="Arial" w:cs="Arial"/>
          <w:b/>
          <w:bCs/>
          <w:sz w:val="36"/>
          <w:szCs w:val="36"/>
        </w:rPr>
        <w:t>17%</w:t>
      </w:r>
    </w:p>
    <w:p w14:paraId="3686AFD3" w14:textId="77777777" w:rsidR="00D32B3E" w:rsidRPr="00D32B3E" w:rsidRDefault="00D32B3E" w:rsidP="00D32B3E">
      <w:pPr>
        <w:spacing w:before="120" w:line="288" w:lineRule="auto"/>
        <w:jc w:val="both"/>
        <w:rPr>
          <w:rFonts w:ascii="Arial" w:eastAsiaTheme="minorEastAsia" w:hAnsi="Arial" w:cs="Arial"/>
          <w:b/>
          <w:sz w:val="22"/>
          <w:szCs w:val="22"/>
          <w:lang w:eastAsia="zh-CN"/>
        </w:rPr>
      </w:pPr>
      <w:bookmarkStart w:id="1" w:name="_Hlk176277549"/>
      <w:bookmarkEnd w:id="0"/>
    </w:p>
    <w:p w14:paraId="2183C49D" w14:textId="71024C2B" w:rsidR="00DB1EAA" w:rsidRPr="001C10B4" w:rsidRDefault="00533EC8" w:rsidP="00195CAB">
      <w:pPr>
        <w:pStyle w:val="Prrafodelista"/>
        <w:numPr>
          <w:ilvl w:val="0"/>
          <w:numId w:val="1"/>
        </w:numPr>
        <w:spacing w:before="120" w:line="288" w:lineRule="auto"/>
        <w:ind w:left="360"/>
        <w:contextualSpacing w:val="0"/>
        <w:jc w:val="both"/>
        <w:rPr>
          <w:rFonts w:ascii="Arial" w:eastAsiaTheme="minorEastAsia" w:hAnsi="Arial" w:cs="Arial"/>
          <w:b/>
          <w:sz w:val="22"/>
          <w:szCs w:val="22"/>
          <w:lang w:eastAsia="zh-CN"/>
        </w:rPr>
      </w:pPr>
      <w:r w:rsidRPr="00533EC8">
        <w:rPr>
          <w:rFonts w:ascii="Arial" w:eastAsia="Arial" w:hAnsi="Arial" w:cs="Arial"/>
          <w:b/>
          <w:sz w:val="22"/>
          <w:szCs w:val="22"/>
        </w:rPr>
        <w:t>Las expectativas netas de</w:t>
      </w:r>
      <w:r w:rsidR="00D24F22">
        <w:rPr>
          <w:rFonts w:ascii="Arial" w:eastAsia="Arial" w:hAnsi="Arial" w:cs="Arial"/>
          <w:b/>
          <w:sz w:val="22"/>
          <w:szCs w:val="22"/>
        </w:rPr>
        <w:t xml:space="preserve"> generación de</w:t>
      </w:r>
      <w:r w:rsidRPr="00533EC8">
        <w:rPr>
          <w:rFonts w:ascii="Arial" w:eastAsia="Arial" w:hAnsi="Arial" w:cs="Arial"/>
          <w:b/>
          <w:sz w:val="22"/>
          <w:szCs w:val="22"/>
        </w:rPr>
        <w:t xml:space="preserve"> empleo </w:t>
      </w:r>
      <w:r w:rsidR="00D24F22">
        <w:rPr>
          <w:rFonts w:ascii="Arial" w:eastAsia="Arial" w:hAnsi="Arial" w:cs="Arial"/>
          <w:b/>
          <w:sz w:val="22"/>
          <w:szCs w:val="22"/>
        </w:rPr>
        <w:t xml:space="preserve">para el cuarto trimestre de 2025 </w:t>
      </w:r>
      <w:r w:rsidRPr="00533EC8">
        <w:rPr>
          <w:rFonts w:ascii="Arial" w:eastAsia="Arial" w:hAnsi="Arial" w:cs="Arial"/>
          <w:b/>
          <w:sz w:val="22"/>
          <w:szCs w:val="22"/>
        </w:rPr>
        <w:t xml:space="preserve">en España </w:t>
      </w:r>
      <w:r w:rsidR="00D24F22">
        <w:rPr>
          <w:rFonts w:ascii="Arial" w:eastAsia="Arial" w:hAnsi="Arial" w:cs="Arial"/>
          <w:b/>
          <w:sz w:val="22"/>
          <w:szCs w:val="22"/>
        </w:rPr>
        <w:t xml:space="preserve">mejoran en </w:t>
      </w:r>
      <w:r w:rsidR="00030253">
        <w:rPr>
          <w:rFonts w:ascii="Arial" w:eastAsia="Arial" w:hAnsi="Arial" w:cs="Arial"/>
          <w:b/>
          <w:sz w:val="22"/>
          <w:szCs w:val="22"/>
        </w:rPr>
        <w:t xml:space="preserve">6 puntos respecto al </w:t>
      </w:r>
      <w:r w:rsidR="0058531F">
        <w:rPr>
          <w:rFonts w:ascii="Arial" w:eastAsia="Arial" w:hAnsi="Arial" w:cs="Arial"/>
          <w:b/>
          <w:sz w:val="22"/>
          <w:szCs w:val="22"/>
        </w:rPr>
        <w:t xml:space="preserve">periodo estival </w:t>
      </w:r>
      <w:r w:rsidR="00030253">
        <w:rPr>
          <w:rFonts w:ascii="Arial" w:eastAsia="Arial" w:hAnsi="Arial" w:cs="Arial"/>
          <w:b/>
          <w:sz w:val="22"/>
          <w:szCs w:val="22"/>
        </w:rPr>
        <w:t>anterior</w:t>
      </w:r>
    </w:p>
    <w:p w14:paraId="5D9956EB" w14:textId="66053655" w:rsidR="001C10B4" w:rsidRPr="002E285C" w:rsidRDefault="0058531F" w:rsidP="00195CAB">
      <w:pPr>
        <w:pStyle w:val="Prrafodelista"/>
        <w:numPr>
          <w:ilvl w:val="0"/>
          <w:numId w:val="1"/>
        </w:numPr>
        <w:spacing w:before="120" w:line="288" w:lineRule="auto"/>
        <w:ind w:left="360"/>
        <w:contextualSpacing w:val="0"/>
        <w:jc w:val="both"/>
        <w:rPr>
          <w:rFonts w:ascii="Arial" w:eastAsiaTheme="minorEastAsia" w:hAnsi="Arial" w:cs="Arial"/>
          <w:b/>
          <w:sz w:val="22"/>
          <w:szCs w:val="22"/>
          <w:lang w:eastAsia="zh-CN"/>
        </w:rPr>
      </w:pPr>
      <w:r>
        <w:rPr>
          <w:rFonts w:ascii="Arial" w:eastAsia="Arial" w:hAnsi="Arial" w:cs="Arial"/>
          <w:b/>
          <w:sz w:val="22"/>
          <w:szCs w:val="22"/>
        </w:rPr>
        <w:t>Sin embargo, d</w:t>
      </w:r>
      <w:r w:rsidR="001C10B4">
        <w:rPr>
          <w:rFonts w:ascii="Arial" w:eastAsia="Arial" w:hAnsi="Arial" w:cs="Arial"/>
          <w:b/>
          <w:sz w:val="22"/>
          <w:szCs w:val="22"/>
        </w:rPr>
        <w:t>ichas expectativas bajan 3 puntos porcentuales en comparación con el mismo trimestre del año anterior</w:t>
      </w:r>
    </w:p>
    <w:p w14:paraId="6060F288" w14:textId="77777777" w:rsidR="0058531F" w:rsidRPr="0058531F" w:rsidRDefault="0058531F" w:rsidP="0058531F">
      <w:pPr>
        <w:spacing w:before="120" w:line="288" w:lineRule="auto"/>
        <w:jc w:val="both"/>
        <w:rPr>
          <w:rFonts w:ascii="Arial" w:eastAsiaTheme="minorEastAsia" w:hAnsi="Arial" w:cs="Arial"/>
          <w:b/>
          <w:sz w:val="22"/>
          <w:szCs w:val="22"/>
          <w:lang w:eastAsia="zh-CN"/>
        </w:rPr>
      </w:pPr>
      <w:bookmarkStart w:id="2" w:name="_Hlk137140302"/>
      <w:bookmarkStart w:id="3" w:name="_Hlk113557102"/>
      <w:bookmarkStart w:id="4" w:name="_Hlk90223537"/>
      <w:bookmarkStart w:id="5" w:name="_Hlk89449303"/>
      <w:bookmarkStart w:id="6" w:name="_Hlk89449332"/>
      <w:bookmarkEnd w:id="1"/>
    </w:p>
    <w:p w14:paraId="2656BCF0" w14:textId="3DAEFF7B" w:rsidR="00956D9A" w:rsidRPr="00956D9A" w:rsidRDefault="000A7DFE" w:rsidP="00956D9A">
      <w:pPr>
        <w:spacing w:before="120" w:line="288" w:lineRule="auto"/>
        <w:jc w:val="both"/>
        <w:rPr>
          <w:rFonts w:ascii="Arial" w:eastAsia="Arial" w:hAnsi="Arial" w:cs="Arial"/>
          <w:bCs/>
          <w:sz w:val="22"/>
          <w:szCs w:val="22"/>
        </w:rPr>
      </w:pPr>
      <w:r w:rsidRPr="001D5BD3">
        <w:rPr>
          <w:rFonts w:ascii="Arial" w:eastAsia="Arial" w:hAnsi="Arial" w:cs="Arial"/>
          <w:b/>
          <w:sz w:val="22"/>
          <w:szCs w:val="22"/>
        </w:rPr>
        <w:t xml:space="preserve">Madrid, </w:t>
      </w:r>
      <w:r w:rsidR="00E376BD">
        <w:rPr>
          <w:rFonts w:ascii="Arial" w:eastAsia="Arial" w:hAnsi="Arial" w:cs="Arial"/>
          <w:b/>
          <w:sz w:val="22"/>
          <w:szCs w:val="22"/>
        </w:rPr>
        <w:t>9</w:t>
      </w:r>
      <w:r w:rsidRPr="001D5BD3">
        <w:rPr>
          <w:rFonts w:ascii="Arial" w:eastAsia="Arial" w:hAnsi="Arial" w:cs="Arial"/>
          <w:b/>
          <w:sz w:val="22"/>
          <w:szCs w:val="22"/>
        </w:rPr>
        <w:t xml:space="preserve"> de </w:t>
      </w:r>
      <w:r w:rsidR="00956D9A">
        <w:rPr>
          <w:rFonts w:ascii="Arial" w:eastAsia="Arial" w:hAnsi="Arial" w:cs="Arial"/>
          <w:b/>
          <w:sz w:val="22"/>
          <w:szCs w:val="22"/>
        </w:rPr>
        <w:t>septiembre</w:t>
      </w:r>
      <w:r w:rsidRPr="001D5BD3">
        <w:rPr>
          <w:rFonts w:ascii="Arial" w:eastAsia="Arial" w:hAnsi="Arial" w:cs="Arial"/>
          <w:b/>
          <w:sz w:val="22"/>
          <w:szCs w:val="22"/>
        </w:rPr>
        <w:t xml:space="preserve"> de 202</w:t>
      </w:r>
      <w:r w:rsidR="008861A5">
        <w:rPr>
          <w:rFonts w:ascii="Arial" w:eastAsia="Arial" w:hAnsi="Arial" w:cs="Arial"/>
          <w:b/>
          <w:sz w:val="22"/>
          <w:szCs w:val="22"/>
        </w:rPr>
        <w:t>5</w:t>
      </w:r>
      <w:r w:rsidR="00E376BD">
        <w:rPr>
          <w:rFonts w:ascii="Arial" w:eastAsia="Arial" w:hAnsi="Arial" w:cs="Arial"/>
          <w:b/>
          <w:sz w:val="22"/>
          <w:szCs w:val="22"/>
        </w:rPr>
        <w:t>.</w:t>
      </w:r>
      <w:r w:rsidR="00956D9A">
        <w:rPr>
          <w:rFonts w:ascii="Arial" w:eastAsia="Arial" w:hAnsi="Arial" w:cs="Arial"/>
          <w:b/>
          <w:sz w:val="22"/>
          <w:szCs w:val="22"/>
        </w:rPr>
        <w:t>-</w:t>
      </w:r>
      <w:r w:rsidR="008E048D">
        <w:rPr>
          <w:rFonts w:ascii="Arial" w:eastAsia="Arial" w:hAnsi="Arial" w:cs="Arial"/>
          <w:b/>
          <w:sz w:val="22"/>
          <w:szCs w:val="22"/>
        </w:rPr>
        <w:t xml:space="preserve"> </w:t>
      </w:r>
      <w:bookmarkEnd w:id="2"/>
      <w:bookmarkEnd w:id="3"/>
      <w:r w:rsidR="00956D9A" w:rsidRPr="00956D9A">
        <w:rPr>
          <w:rFonts w:ascii="Arial" w:eastAsia="Arial" w:hAnsi="Arial" w:cs="Arial"/>
          <w:bCs/>
          <w:sz w:val="22"/>
          <w:szCs w:val="22"/>
        </w:rPr>
        <w:t xml:space="preserve">Las empresas españolas afrontan el último trimestre del año con optimismo, aunque con cierta cautela, en cuanto a nuevas contrataciones, de acuerdo con el </w:t>
      </w:r>
      <w:r w:rsidR="00956D9A" w:rsidRPr="00956D9A">
        <w:rPr>
          <w:rFonts w:ascii="Arial" w:eastAsia="Arial" w:hAnsi="Arial" w:cs="Arial"/>
          <w:b/>
          <w:bCs/>
          <w:sz w:val="22"/>
          <w:szCs w:val="22"/>
        </w:rPr>
        <w:t>Estudio de Proyección de Empleo elaborado por ManpowerGroup</w:t>
      </w:r>
      <w:r w:rsidR="00956D9A" w:rsidRPr="00956D9A">
        <w:rPr>
          <w:rFonts w:ascii="Arial" w:eastAsia="Arial" w:hAnsi="Arial" w:cs="Arial"/>
          <w:bCs/>
          <w:sz w:val="22"/>
          <w:szCs w:val="22"/>
        </w:rPr>
        <w:t xml:space="preserve">. Las expectativas netas de empleo se sitúan en un </w:t>
      </w:r>
      <w:r w:rsidR="00956D9A" w:rsidRPr="00956D9A">
        <w:rPr>
          <w:rFonts w:ascii="Arial" w:eastAsia="Arial" w:hAnsi="Arial" w:cs="Arial"/>
          <w:b/>
          <w:bCs/>
          <w:sz w:val="22"/>
          <w:szCs w:val="22"/>
        </w:rPr>
        <w:t>17%</w:t>
      </w:r>
      <w:r w:rsidR="00956D9A" w:rsidRPr="00956D9A">
        <w:rPr>
          <w:rFonts w:ascii="Arial" w:eastAsia="Arial" w:hAnsi="Arial" w:cs="Arial"/>
          <w:bCs/>
          <w:sz w:val="22"/>
          <w:szCs w:val="22"/>
        </w:rPr>
        <w:t xml:space="preserve">, lo que supone una </w:t>
      </w:r>
      <w:r w:rsidR="006C49DB">
        <w:rPr>
          <w:rFonts w:ascii="Arial" w:eastAsia="Arial" w:hAnsi="Arial" w:cs="Arial"/>
          <w:b/>
          <w:bCs/>
          <w:sz w:val="22"/>
          <w:szCs w:val="22"/>
        </w:rPr>
        <w:t xml:space="preserve">mejora </w:t>
      </w:r>
      <w:r w:rsidR="00956D9A" w:rsidRPr="00956D9A">
        <w:rPr>
          <w:rFonts w:ascii="Arial" w:eastAsia="Arial" w:hAnsi="Arial" w:cs="Arial"/>
          <w:b/>
          <w:bCs/>
          <w:sz w:val="22"/>
          <w:szCs w:val="22"/>
        </w:rPr>
        <w:t>de 6 puntos porcentuales respecto al trimestre anterior</w:t>
      </w:r>
      <w:r w:rsidR="00956D9A" w:rsidRPr="00956D9A">
        <w:rPr>
          <w:rFonts w:ascii="Arial" w:eastAsia="Arial" w:hAnsi="Arial" w:cs="Arial"/>
          <w:bCs/>
          <w:sz w:val="22"/>
          <w:szCs w:val="22"/>
        </w:rPr>
        <w:t>.</w:t>
      </w:r>
    </w:p>
    <w:p w14:paraId="5D511A80" w14:textId="544269E8" w:rsidR="0004003B" w:rsidRDefault="00956D9A" w:rsidP="0004003B">
      <w:pPr>
        <w:spacing w:before="120" w:line="288" w:lineRule="auto"/>
        <w:jc w:val="both"/>
        <w:rPr>
          <w:rFonts w:ascii="Arial" w:eastAsia="Arial" w:hAnsi="Arial" w:cs="Arial"/>
          <w:bCs/>
          <w:sz w:val="22"/>
          <w:szCs w:val="22"/>
        </w:rPr>
      </w:pPr>
      <w:r w:rsidRPr="00956D9A">
        <w:rPr>
          <w:rFonts w:ascii="Arial" w:eastAsia="Arial" w:hAnsi="Arial" w:cs="Arial"/>
          <w:bCs/>
          <w:sz w:val="22"/>
          <w:szCs w:val="22"/>
        </w:rPr>
        <w:t xml:space="preserve">Este dato surge de que un </w:t>
      </w:r>
      <w:r w:rsidRPr="00956D9A">
        <w:rPr>
          <w:rFonts w:ascii="Arial" w:eastAsia="Arial" w:hAnsi="Arial" w:cs="Arial"/>
          <w:b/>
          <w:bCs/>
          <w:sz w:val="22"/>
          <w:szCs w:val="22"/>
        </w:rPr>
        <w:t>35% de las empresas prevé aumentar su número de empleados</w:t>
      </w:r>
      <w:r w:rsidRPr="00956D9A">
        <w:rPr>
          <w:rFonts w:ascii="Arial" w:eastAsia="Arial" w:hAnsi="Arial" w:cs="Arial"/>
          <w:bCs/>
          <w:sz w:val="22"/>
          <w:szCs w:val="22"/>
        </w:rPr>
        <w:t xml:space="preserve">, el </w:t>
      </w:r>
      <w:r w:rsidRPr="00956D9A">
        <w:rPr>
          <w:rFonts w:ascii="Arial" w:eastAsia="Arial" w:hAnsi="Arial" w:cs="Arial"/>
          <w:b/>
          <w:bCs/>
          <w:sz w:val="22"/>
          <w:szCs w:val="22"/>
        </w:rPr>
        <w:t>43% planea mantener su plantilla sin cambios</w:t>
      </w:r>
      <w:r w:rsidR="001F7ADD">
        <w:rPr>
          <w:rFonts w:ascii="Arial" w:eastAsia="Arial" w:hAnsi="Arial" w:cs="Arial"/>
          <w:bCs/>
          <w:sz w:val="22"/>
          <w:szCs w:val="22"/>
        </w:rPr>
        <w:t xml:space="preserve"> y</w:t>
      </w:r>
      <w:r w:rsidRPr="00956D9A">
        <w:rPr>
          <w:rFonts w:ascii="Arial" w:eastAsia="Arial" w:hAnsi="Arial" w:cs="Arial"/>
          <w:bCs/>
          <w:sz w:val="22"/>
          <w:szCs w:val="22"/>
        </w:rPr>
        <w:t xml:space="preserve"> un </w:t>
      </w:r>
      <w:r w:rsidRPr="00956D9A">
        <w:rPr>
          <w:rFonts w:ascii="Arial" w:eastAsia="Arial" w:hAnsi="Arial" w:cs="Arial"/>
          <w:b/>
          <w:bCs/>
          <w:sz w:val="22"/>
          <w:szCs w:val="22"/>
        </w:rPr>
        <w:t xml:space="preserve">20% estima que </w:t>
      </w:r>
      <w:r w:rsidR="001F7ADD">
        <w:rPr>
          <w:rFonts w:ascii="Arial" w:eastAsia="Arial" w:hAnsi="Arial" w:cs="Arial"/>
          <w:b/>
          <w:bCs/>
          <w:sz w:val="22"/>
          <w:szCs w:val="22"/>
        </w:rPr>
        <w:t>sus equipos se verán reducidos</w:t>
      </w:r>
      <w:r w:rsidRPr="00956D9A">
        <w:rPr>
          <w:rFonts w:ascii="Arial" w:eastAsia="Arial" w:hAnsi="Arial" w:cs="Arial"/>
          <w:bCs/>
          <w:sz w:val="22"/>
          <w:szCs w:val="22"/>
        </w:rPr>
        <w:t>.</w:t>
      </w:r>
    </w:p>
    <w:p w14:paraId="689B16A8" w14:textId="23821A29" w:rsidR="00956D9A" w:rsidRPr="00956D9A" w:rsidRDefault="0004003B" w:rsidP="00956D9A">
      <w:pPr>
        <w:spacing w:before="120" w:line="288" w:lineRule="auto"/>
        <w:jc w:val="both"/>
        <w:rPr>
          <w:rFonts w:ascii="Arial" w:eastAsia="Arial" w:hAnsi="Arial" w:cs="Arial"/>
          <w:bCs/>
          <w:sz w:val="22"/>
          <w:szCs w:val="22"/>
        </w:rPr>
      </w:pPr>
      <w:r w:rsidRPr="00956D9A">
        <w:rPr>
          <w:rFonts w:ascii="Arial" w:eastAsia="Arial" w:hAnsi="Arial" w:cs="Arial"/>
          <w:bCs/>
          <w:sz w:val="22"/>
          <w:szCs w:val="22"/>
        </w:rPr>
        <w:t>A nivel global, el estudio muestra que las previsiones de contratación retroceden un punto respecto al tercer trimestre</w:t>
      </w:r>
      <w:r w:rsidR="00C4474E">
        <w:rPr>
          <w:rFonts w:ascii="Arial" w:eastAsia="Arial" w:hAnsi="Arial" w:cs="Arial"/>
          <w:bCs/>
          <w:sz w:val="22"/>
          <w:szCs w:val="22"/>
        </w:rPr>
        <w:t xml:space="preserve"> y se sitúan en un 23%</w:t>
      </w:r>
      <w:r w:rsidRPr="00956D9A">
        <w:rPr>
          <w:rFonts w:ascii="Arial" w:eastAsia="Arial" w:hAnsi="Arial" w:cs="Arial"/>
          <w:bCs/>
          <w:sz w:val="22"/>
          <w:szCs w:val="22"/>
        </w:rPr>
        <w:t xml:space="preserve">. España, </w:t>
      </w:r>
      <w:r w:rsidR="00153505">
        <w:rPr>
          <w:rFonts w:ascii="Arial" w:eastAsia="Arial" w:hAnsi="Arial" w:cs="Arial"/>
          <w:bCs/>
          <w:sz w:val="22"/>
          <w:szCs w:val="22"/>
        </w:rPr>
        <w:t>a pesar de la mejora respecto al periodo anterior, se mantiene aún por debajo de la media global</w:t>
      </w:r>
      <w:r w:rsidRPr="00956D9A">
        <w:rPr>
          <w:rFonts w:ascii="Arial" w:eastAsia="Arial" w:hAnsi="Arial" w:cs="Arial"/>
          <w:bCs/>
          <w:sz w:val="22"/>
          <w:szCs w:val="22"/>
        </w:rPr>
        <w:t>.</w:t>
      </w:r>
    </w:p>
    <w:p w14:paraId="20C11236" w14:textId="2E638A83" w:rsidR="00956D9A" w:rsidRPr="00956D9A" w:rsidRDefault="00956D9A" w:rsidP="00956D9A">
      <w:pPr>
        <w:spacing w:before="120" w:line="288" w:lineRule="auto"/>
        <w:jc w:val="both"/>
        <w:rPr>
          <w:rFonts w:ascii="Arial" w:eastAsia="Arial" w:hAnsi="Arial" w:cs="Arial"/>
          <w:bCs/>
          <w:sz w:val="22"/>
          <w:szCs w:val="22"/>
        </w:rPr>
      </w:pPr>
      <w:r w:rsidRPr="00956D9A">
        <w:rPr>
          <w:rFonts w:ascii="Arial" w:eastAsia="Arial" w:hAnsi="Arial" w:cs="Arial"/>
          <w:bCs/>
          <w:i/>
          <w:iCs/>
          <w:sz w:val="22"/>
          <w:szCs w:val="22"/>
        </w:rPr>
        <w:t xml:space="preserve">"Las empresas españolas mantienen una actitud positiva hacia la contratación, aunque con una tendencia más moderada que en el </w:t>
      </w:r>
      <w:r w:rsidR="00590192">
        <w:rPr>
          <w:rFonts w:ascii="Arial" w:eastAsia="Arial" w:hAnsi="Arial" w:cs="Arial"/>
          <w:bCs/>
          <w:i/>
          <w:iCs/>
          <w:sz w:val="22"/>
          <w:szCs w:val="22"/>
        </w:rPr>
        <w:t xml:space="preserve">cierre del año </w:t>
      </w:r>
      <w:r w:rsidRPr="00956D9A">
        <w:rPr>
          <w:rFonts w:ascii="Arial" w:eastAsia="Arial" w:hAnsi="Arial" w:cs="Arial"/>
          <w:bCs/>
          <w:i/>
          <w:iCs/>
          <w:sz w:val="22"/>
          <w:szCs w:val="22"/>
        </w:rPr>
        <w:t xml:space="preserve">anterior. El crecimiento empresarial sigue siendo el principal motor de creación de empleo, pero factores como los cambios en la demanda y la incertidumbre global condicionan las decisiones de las compañías. En este contexto, es clave </w:t>
      </w:r>
      <w:r>
        <w:rPr>
          <w:rFonts w:ascii="Arial" w:eastAsia="Arial" w:hAnsi="Arial" w:cs="Arial"/>
          <w:bCs/>
          <w:i/>
          <w:iCs/>
          <w:sz w:val="22"/>
          <w:szCs w:val="22"/>
        </w:rPr>
        <w:t>que fortalezcamos nuestros</w:t>
      </w:r>
      <w:r w:rsidRPr="00956D9A">
        <w:rPr>
          <w:rFonts w:ascii="Arial" w:eastAsia="Arial" w:hAnsi="Arial" w:cs="Arial"/>
          <w:bCs/>
          <w:i/>
          <w:iCs/>
          <w:sz w:val="22"/>
          <w:szCs w:val="22"/>
        </w:rPr>
        <w:t xml:space="preserve"> sectores más dinámicos y acompañar a las organizaciones en su proceso de adaptación",</w:t>
      </w:r>
      <w:r w:rsidRPr="00956D9A">
        <w:rPr>
          <w:rFonts w:ascii="Arial" w:eastAsia="Arial" w:hAnsi="Arial" w:cs="Arial"/>
          <w:bCs/>
          <w:sz w:val="22"/>
          <w:szCs w:val="22"/>
        </w:rPr>
        <w:t xml:space="preserve"> comenta </w:t>
      </w:r>
      <w:r w:rsidR="00261409">
        <w:rPr>
          <w:rFonts w:ascii="Arial" w:eastAsia="Arial" w:hAnsi="Arial" w:cs="Arial"/>
          <w:b/>
          <w:bCs/>
          <w:sz w:val="22"/>
          <w:szCs w:val="22"/>
        </w:rPr>
        <w:t>Luis Miguel Jiménez</w:t>
      </w:r>
      <w:r w:rsidRPr="00956D9A">
        <w:rPr>
          <w:rFonts w:ascii="Arial" w:eastAsia="Arial" w:hAnsi="Arial" w:cs="Arial"/>
          <w:b/>
          <w:bCs/>
          <w:sz w:val="22"/>
          <w:szCs w:val="22"/>
        </w:rPr>
        <w:t xml:space="preserve">, </w:t>
      </w:r>
      <w:r w:rsidR="00261409">
        <w:rPr>
          <w:rFonts w:ascii="Arial" w:eastAsia="Arial" w:hAnsi="Arial" w:cs="Arial"/>
          <w:b/>
          <w:bCs/>
          <w:sz w:val="22"/>
          <w:szCs w:val="22"/>
        </w:rPr>
        <w:t xml:space="preserve">Director General </w:t>
      </w:r>
      <w:r w:rsidRPr="00956D9A">
        <w:rPr>
          <w:rFonts w:ascii="Arial" w:eastAsia="Arial" w:hAnsi="Arial" w:cs="Arial"/>
          <w:b/>
          <w:bCs/>
          <w:sz w:val="22"/>
          <w:szCs w:val="22"/>
        </w:rPr>
        <w:t>de Manpower España</w:t>
      </w:r>
      <w:r w:rsidRPr="00956D9A">
        <w:rPr>
          <w:rFonts w:ascii="Arial" w:eastAsia="Arial" w:hAnsi="Arial" w:cs="Arial"/>
          <w:bCs/>
          <w:sz w:val="22"/>
          <w:szCs w:val="22"/>
        </w:rPr>
        <w:t>.</w:t>
      </w:r>
    </w:p>
    <w:p w14:paraId="5498050A" w14:textId="77777777" w:rsidR="005630A5" w:rsidRDefault="005630A5" w:rsidP="00956D9A">
      <w:pPr>
        <w:spacing w:before="120" w:line="288" w:lineRule="auto"/>
        <w:jc w:val="both"/>
        <w:rPr>
          <w:rFonts w:ascii="Arial" w:eastAsia="Arial" w:hAnsi="Arial" w:cs="Arial"/>
          <w:bCs/>
          <w:sz w:val="22"/>
          <w:szCs w:val="22"/>
        </w:rPr>
      </w:pPr>
    </w:p>
    <w:p w14:paraId="11B9C8F8" w14:textId="76F4ED0E" w:rsidR="00CC20DB" w:rsidRPr="00932B40" w:rsidRDefault="00CC20DB" w:rsidP="00CC20DB">
      <w:pPr>
        <w:spacing w:before="120" w:line="288" w:lineRule="auto"/>
        <w:jc w:val="both"/>
        <w:rPr>
          <w:rFonts w:ascii="Arial" w:eastAsia="Arial" w:hAnsi="Arial" w:cs="Arial"/>
          <w:b/>
          <w:bCs/>
          <w:sz w:val="22"/>
          <w:szCs w:val="22"/>
        </w:rPr>
      </w:pPr>
      <w:r>
        <w:rPr>
          <w:rFonts w:ascii="Arial" w:eastAsia="Arial" w:hAnsi="Arial" w:cs="Arial"/>
          <w:b/>
          <w:bCs/>
          <w:sz w:val="22"/>
          <w:szCs w:val="22"/>
        </w:rPr>
        <w:t>Tecnología lidera las previsiones mientras que Energía y suministros se mantiene en negativo</w:t>
      </w:r>
    </w:p>
    <w:p w14:paraId="1F5F7DDB" w14:textId="52CC6056" w:rsidR="00CC20DB" w:rsidRPr="00AE3488" w:rsidRDefault="004D4711" w:rsidP="00CC20DB">
      <w:pPr>
        <w:spacing w:before="120" w:line="288" w:lineRule="auto"/>
        <w:jc w:val="both"/>
        <w:rPr>
          <w:rFonts w:ascii="Arial" w:eastAsia="Arial" w:hAnsi="Arial" w:cs="Arial"/>
          <w:bCs/>
          <w:sz w:val="22"/>
          <w:szCs w:val="22"/>
        </w:rPr>
      </w:pPr>
      <w:r>
        <w:rPr>
          <w:rFonts w:ascii="Arial" w:eastAsia="Arial" w:hAnsi="Arial" w:cs="Arial"/>
          <w:bCs/>
          <w:sz w:val="22"/>
          <w:szCs w:val="22"/>
        </w:rPr>
        <w:t>C</w:t>
      </w:r>
      <w:r w:rsidRPr="00AE3488">
        <w:rPr>
          <w:rFonts w:ascii="Arial" w:eastAsia="Arial" w:hAnsi="Arial" w:cs="Arial"/>
          <w:bCs/>
          <w:sz w:val="22"/>
          <w:szCs w:val="22"/>
        </w:rPr>
        <w:t xml:space="preserve">on un </w:t>
      </w:r>
      <w:r w:rsidRPr="00AE3488">
        <w:rPr>
          <w:rFonts w:ascii="Arial" w:eastAsia="Arial" w:hAnsi="Arial" w:cs="Arial"/>
          <w:b/>
          <w:sz w:val="22"/>
          <w:szCs w:val="22"/>
        </w:rPr>
        <w:t>3</w:t>
      </w:r>
      <w:r>
        <w:rPr>
          <w:rFonts w:ascii="Arial" w:eastAsia="Arial" w:hAnsi="Arial" w:cs="Arial"/>
          <w:b/>
          <w:sz w:val="22"/>
          <w:szCs w:val="22"/>
        </w:rPr>
        <w:t>1</w:t>
      </w:r>
      <w:r w:rsidRPr="00AE3488">
        <w:rPr>
          <w:rFonts w:ascii="Arial" w:eastAsia="Arial" w:hAnsi="Arial" w:cs="Arial"/>
          <w:b/>
          <w:sz w:val="22"/>
          <w:szCs w:val="22"/>
        </w:rPr>
        <w:t>%</w:t>
      </w:r>
      <w:r>
        <w:rPr>
          <w:rFonts w:ascii="Arial" w:eastAsia="Arial" w:hAnsi="Arial" w:cs="Arial"/>
          <w:b/>
          <w:sz w:val="22"/>
          <w:szCs w:val="22"/>
        </w:rPr>
        <w:t xml:space="preserve">, las empresas tecnológicas son las </w:t>
      </w:r>
      <w:r w:rsidR="00CC20DB" w:rsidRPr="00AE3488">
        <w:rPr>
          <w:rFonts w:ascii="Arial" w:eastAsia="Arial" w:hAnsi="Arial" w:cs="Arial"/>
          <w:b/>
          <w:sz w:val="22"/>
          <w:szCs w:val="22"/>
        </w:rPr>
        <w:t>que muestra</w:t>
      </w:r>
      <w:r>
        <w:rPr>
          <w:rFonts w:ascii="Arial" w:eastAsia="Arial" w:hAnsi="Arial" w:cs="Arial"/>
          <w:b/>
          <w:sz w:val="22"/>
          <w:szCs w:val="22"/>
        </w:rPr>
        <w:t>n</w:t>
      </w:r>
      <w:r w:rsidR="00CC20DB" w:rsidRPr="00AE3488">
        <w:rPr>
          <w:rFonts w:ascii="Arial" w:eastAsia="Arial" w:hAnsi="Arial" w:cs="Arial"/>
          <w:b/>
          <w:sz w:val="22"/>
          <w:szCs w:val="22"/>
        </w:rPr>
        <w:t xml:space="preserve"> mejores</w:t>
      </w:r>
      <w:r w:rsidR="00CC20DB" w:rsidRPr="00AE3488">
        <w:rPr>
          <w:rFonts w:ascii="Arial" w:eastAsia="Arial" w:hAnsi="Arial" w:cs="Arial"/>
          <w:bCs/>
          <w:sz w:val="22"/>
          <w:szCs w:val="22"/>
        </w:rPr>
        <w:t xml:space="preserve"> </w:t>
      </w:r>
      <w:r w:rsidR="00CC20DB" w:rsidRPr="004D4711">
        <w:rPr>
          <w:rFonts w:ascii="Arial" w:eastAsia="Arial" w:hAnsi="Arial" w:cs="Arial"/>
          <w:b/>
          <w:sz w:val="22"/>
          <w:szCs w:val="22"/>
        </w:rPr>
        <w:t>perspectivas</w:t>
      </w:r>
      <w:r w:rsidR="00CC20DB" w:rsidRPr="00AE3488">
        <w:rPr>
          <w:rFonts w:ascii="Arial" w:eastAsia="Arial" w:hAnsi="Arial" w:cs="Arial"/>
          <w:bCs/>
          <w:sz w:val="22"/>
          <w:szCs w:val="22"/>
        </w:rPr>
        <w:t xml:space="preserve"> de contratación para el próximo trimestre. </w:t>
      </w:r>
      <w:r>
        <w:rPr>
          <w:rFonts w:ascii="Arial" w:eastAsia="Arial" w:hAnsi="Arial" w:cs="Arial"/>
          <w:bCs/>
          <w:sz w:val="22"/>
          <w:szCs w:val="22"/>
        </w:rPr>
        <w:t xml:space="preserve">Completan el pódium </w:t>
      </w:r>
      <w:r w:rsidR="00CC20DB" w:rsidRPr="00AE3488">
        <w:rPr>
          <w:rFonts w:ascii="Arial" w:eastAsia="Arial" w:hAnsi="Arial" w:cs="Arial"/>
          <w:b/>
          <w:sz w:val="22"/>
          <w:szCs w:val="22"/>
        </w:rPr>
        <w:t xml:space="preserve">Transporte, </w:t>
      </w:r>
      <w:r w:rsidR="00CC20DB">
        <w:rPr>
          <w:rFonts w:ascii="Arial" w:eastAsia="Arial" w:hAnsi="Arial" w:cs="Arial"/>
          <w:b/>
          <w:sz w:val="22"/>
          <w:szCs w:val="22"/>
        </w:rPr>
        <w:t>l</w:t>
      </w:r>
      <w:r w:rsidR="00CC20DB" w:rsidRPr="00AE3488">
        <w:rPr>
          <w:rFonts w:ascii="Arial" w:eastAsia="Arial" w:hAnsi="Arial" w:cs="Arial"/>
          <w:b/>
          <w:sz w:val="22"/>
          <w:szCs w:val="22"/>
        </w:rPr>
        <w:t xml:space="preserve">ogística y </w:t>
      </w:r>
      <w:r w:rsidR="00CC20DB">
        <w:rPr>
          <w:rFonts w:ascii="Arial" w:eastAsia="Arial" w:hAnsi="Arial" w:cs="Arial"/>
          <w:b/>
          <w:sz w:val="22"/>
          <w:szCs w:val="22"/>
        </w:rPr>
        <w:t>a</w:t>
      </w:r>
      <w:r w:rsidR="00CC20DB" w:rsidRPr="00AE3488">
        <w:rPr>
          <w:rFonts w:ascii="Arial" w:eastAsia="Arial" w:hAnsi="Arial" w:cs="Arial"/>
          <w:b/>
          <w:sz w:val="22"/>
          <w:szCs w:val="22"/>
        </w:rPr>
        <w:t>utomoción</w:t>
      </w:r>
      <w:r>
        <w:rPr>
          <w:rFonts w:ascii="Arial" w:eastAsia="Arial" w:hAnsi="Arial" w:cs="Arial"/>
          <w:b/>
          <w:sz w:val="22"/>
          <w:szCs w:val="22"/>
        </w:rPr>
        <w:t xml:space="preserve"> (25%) y Publicidad y comunicación (23%)</w:t>
      </w:r>
      <w:r w:rsidR="00CC20DB" w:rsidRPr="00AE3488">
        <w:rPr>
          <w:rFonts w:ascii="Arial" w:eastAsia="Arial" w:hAnsi="Arial" w:cs="Arial"/>
          <w:bCs/>
          <w:sz w:val="22"/>
          <w:szCs w:val="22"/>
        </w:rPr>
        <w:t>,</w:t>
      </w:r>
      <w:r w:rsidR="00FA40B3">
        <w:rPr>
          <w:rFonts w:ascii="Arial" w:eastAsia="Arial" w:hAnsi="Arial" w:cs="Arial"/>
          <w:bCs/>
          <w:sz w:val="22"/>
          <w:szCs w:val="22"/>
        </w:rPr>
        <w:t xml:space="preserve"> que protagoniza la mayor subida con respecto al verano</w:t>
      </w:r>
      <w:r w:rsidR="00B950D2">
        <w:rPr>
          <w:rFonts w:ascii="Arial" w:eastAsia="Arial" w:hAnsi="Arial" w:cs="Arial"/>
          <w:bCs/>
          <w:sz w:val="22"/>
          <w:szCs w:val="22"/>
        </w:rPr>
        <w:t>, mejorando sus datos en 19 puntos</w:t>
      </w:r>
      <w:r w:rsidR="00CC20DB">
        <w:rPr>
          <w:rFonts w:ascii="Arial" w:eastAsia="Arial" w:hAnsi="Arial" w:cs="Arial"/>
          <w:bCs/>
          <w:sz w:val="22"/>
          <w:szCs w:val="22"/>
        </w:rPr>
        <w:t>.</w:t>
      </w:r>
    </w:p>
    <w:p w14:paraId="2D6BF108" w14:textId="23C2FD6A" w:rsidR="00CC20DB" w:rsidRDefault="00CC20DB" w:rsidP="00CC20DB">
      <w:pPr>
        <w:spacing w:before="120" w:line="288" w:lineRule="auto"/>
        <w:jc w:val="both"/>
        <w:rPr>
          <w:rFonts w:ascii="Arial" w:eastAsia="Arial" w:hAnsi="Arial" w:cs="Arial"/>
          <w:bCs/>
          <w:sz w:val="22"/>
          <w:szCs w:val="22"/>
        </w:rPr>
      </w:pPr>
      <w:r w:rsidRPr="00AE3488">
        <w:rPr>
          <w:rFonts w:ascii="Arial" w:eastAsia="Arial" w:hAnsi="Arial" w:cs="Arial"/>
          <w:bCs/>
          <w:sz w:val="22"/>
          <w:szCs w:val="22"/>
        </w:rPr>
        <w:lastRenderedPageBreak/>
        <w:t xml:space="preserve">En contraste, el sector de </w:t>
      </w:r>
      <w:r w:rsidRPr="00AE3488">
        <w:rPr>
          <w:rFonts w:ascii="Arial" w:eastAsia="Arial" w:hAnsi="Arial" w:cs="Arial"/>
          <w:b/>
          <w:sz w:val="22"/>
          <w:szCs w:val="22"/>
        </w:rPr>
        <w:t xml:space="preserve">Energía y </w:t>
      </w:r>
      <w:r>
        <w:rPr>
          <w:rFonts w:ascii="Arial" w:eastAsia="Arial" w:hAnsi="Arial" w:cs="Arial"/>
          <w:b/>
          <w:sz w:val="22"/>
          <w:szCs w:val="22"/>
        </w:rPr>
        <w:t>s</w:t>
      </w:r>
      <w:r w:rsidRPr="00AE3488">
        <w:rPr>
          <w:rFonts w:ascii="Arial" w:eastAsia="Arial" w:hAnsi="Arial" w:cs="Arial"/>
          <w:b/>
          <w:sz w:val="22"/>
          <w:szCs w:val="22"/>
        </w:rPr>
        <w:t xml:space="preserve">uministros </w:t>
      </w:r>
      <w:r w:rsidR="00B950D2">
        <w:rPr>
          <w:rFonts w:ascii="Arial" w:eastAsia="Arial" w:hAnsi="Arial" w:cs="Arial"/>
          <w:b/>
          <w:sz w:val="22"/>
          <w:szCs w:val="22"/>
        </w:rPr>
        <w:t xml:space="preserve">anticipa otro trimestre en negativo, </w:t>
      </w:r>
      <w:r w:rsidR="00B950D2" w:rsidRPr="00261409">
        <w:rPr>
          <w:rFonts w:ascii="Arial" w:eastAsia="Arial" w:hAnsi="Arial" w:cs="Arial"/>
          <w:bCs/>
          <w:sz w:val="22"/>
          <w:szCs w:val="22"/>
        </w:rPr>
        <w:t>aunque mejora sus previsiones</w:t>
      </w:r>
      <w:r w:rsidR="00261409">
        <w:rPr>
          <w:rFonts w:ascii="Arial" w:eastAsia="Arial" w:hAnsi="Arial" w:cs="Arial"/>
          <w:bCs/>
          <w:sz w:val="22"/>
          <w:szCs w:val="22"/>
        </w:rPr>
        <w:t xml:space="preserve"> en 12 puntos, las previsiones netas son del -3%</w:t>
      </w:r>
      <w:r w:rsidRPr="00AE3488">
        <w:rPr>
          <w:rFonts w:ascii="Arial" w:eastAsia="Arial" w:hAnsi="Arial" w:cs="Arial"/>
          <w:bCs/>
          <w:sz w:val="22"/>
          <w:szCs w:val="22"/>
        </w:rPr>
        <w:t>.</w:t>
      </w:r>
    </w:p>
    <w:p w14:paraId="5F5340E0" w14:textId="77777777" w:rsidR="00261409" w:rsidRDefault="00261409" w:rsidP="00CC20DB">
      <w:pPr>
        <w:spacing w:before="120" w:line="288" w:lineRule="auto"/>
        <w:jc w:val="both"/>
        <w:rPr>
          <w:rFonts w:ascii="Arial" w:eastAsia="Arial" w:hAnsi="Arial" w:cs="Arial"/>
          <w:bCs/>
          <w:sz w:val="22"/>
          <w:szCs w:val="22"/>
        </w:rPr>
      </w:pPr>
    </w:p>
    <w:p w14:paraId="2F06A291" w14:textId="6A197627" w:rsidR="00CC20DB" w:rsidRDefault="00685FB7" w:rsidP="00261409">
      <w:pPr>
        <w:spacing w:before="120" w:line="288" w:lineRule="auto"/>
        <w:jc w:val="both"/>
        <w:rPr>
          <w:rFonts w:ascii="Arial" w:eastAsia="Arial" w:hAnsi="Arial" w:cs="Arial"/>
          <w:bCs/>
          <w:sz w:val="22"/>
          <w:szCs w:val="22"/>
        </w:rPr>
      </w:pPr>
      <w:r>
        <w:rPr>
          <w:rFonts w:ascii="Arial" w:eastAsia="Arial" w:hAnsi="Arial" w:cs="Arial"/>
          <w:bCs/>
          <w:noProof/>
          <w:sz w:val="22"/>
          <w:szCs w:val="22"/>
        </w:rPr>
        <w:drawing>
          <wp:inline distT="0" distB="0" distL="0" distR="0" wp14:anchorId="5257EF4B" wp14:editId="2BB05052">
            <wp:extent cx="5865495" cy="2329831"/>
            <wp:effectExtent l="0" t="0" r="0" b="0"/>
            <wp:docPr id="6846428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91723" cy="2340249"/>
                    </a:xfrm>
                    <a:prstGeom prst="rect">
                      <a:avLst/>
                    </a:prstGeom>
                    <a:noFill/>
                  </pic:spPr>
                </pic:pic>
              </a:graphicData>
            </a:graphic>
          </wp:inline>
        </w:drawing>
      </w:r>
    </w:p>
    <w:p w14:paraId="2C9771E3" w14:textId="77777777" w:rsidR="00CC20DB" w:rsidRPr="008D27B6" w:rsidRDefault="00CC20DB" w:rsidP="00CC20DB">
      <w:pPr>
        <w:spacing w:before="120" w:line="288"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w:t>
      </w:r>
      <w:bookmarkStart w:id="7" w:name="_Hlk176278271"/>
      <w:r w:rsidRPr="00687087">
        <w:rPr>
          <w:rFonts w:ascii="Arial" w:eastAsiaTheme="minorEastAsia" w:hAnsi="Arial" w:cs="Arial"/>
          <w:b/>
          <w:bCs/>
          <w:i/>
          <w:iCs/>
          <w:sz w:val="18"/>
          <w:szCs w:val="18"/>
          <w:lang w:eastAsia="zh-CN"/>
        </w:rPr>
        <w:t xml:space="preserve">de contratación por </w:t>
      </w:r>
      <w:r>
        <w:rPr>
          <w:rFonts w:ascii="Arial" w:eastAsiaTheme="minorEastAsia" w:hAnsi="Arial" w:cs="Arial"/>
          <w:b/>
          <w:bCs/>
          <w:i/>
          <w:iCs/>
          <w:sz w:val="18"/>
          <w:szCs w:val="18"/>
          <w:lang w:eastAsia="zh-CN"/>
        </w:rPr>
        <w:t>sectores</w:t>
      </w:r>
      <w:bookmarkEnd w:id="7"/>
    </w:p>
    <w:p w14:paraId="5412C52E" w14:textId="77777777" w:rsidR="00CC20DB" w:rsidRPr="00983A48" w:rsidRDefault="00CC20DB" w:rsidP="00956D9A">
      <w:pPr>
        <w:spacing w:before="120" w:line="288" w:lineRule="auto"/>
        <w:jc w:val="both"/>
        <w:rPr>
          <w:rFonts w:ascii="Arial" w:eastAsia="Arial" w:hAnsi="Arial" w:cs="Arial"/>
          <w:bCs/>
          <w:sz w:val="22"/>
          <w:szCs w:val="22"/>
        </w:rPr>
      </w:pPr>
    </w:p>
    <w:p w14:paraId="58E5D6CB" w14:textId="77777777" w:rsidR="00983A48" w:rsidRPr="005630A5" w:rsidRDefault="00983A48" w:rsidP="00983A48">
      <w:pPr>
        <w:spacing w:before="120" w:line="288" w:lineRule="auto"/>
        <w:jc w:val="both"/>
        <w:rPr>
          <w:rFonts w:ascii="Arial" w:eastAsia="Arial" w:hAnsi="Arial" w:cs="Arial"/>
          <w:b/>
          <w:sz w:val="22"/>
          <w:szCs w:val="22"/>
        </w:rPr>
      </w:pPr>
      <w:r w:rsidRPr="005630A5">
        <w:rPr>
          <w:rFonts w:ascii="Arial" w:eastAsia="Arial" w:hAnsi="Arial" w:cs="Arial"/>
          <w:b/>
          <w:sz w:val="22"/>
          <w:szCs w:val="22"/>
        </w:rPr>
        <w:t>Las microempresas son pesimistas y las medianas son las más optimistas</w:t>
      </w:r>
    </w:p>
    <w:p w14:paraId="046E1832" w14:textId="77777777" w:rsidR="00983A48" w:rsidRPr="00956D9A" w:rsidRDefault="00983A48" w:rsidP="00983A48">
      <w:pPr>
        <w:spacing w:before="120" w:line="288" w:lineRule="auto"/>
        <w:jc w:val="both"/>
        <w:rPr>
          <w:rFonts w:ascii="Arial" w:eastAsia="Arial" w:hAnsi="Arial" w:cs="Arial"/>
          <w:bCs/>
          <w:sz w:val="22"/>
          <w:szCs w:val="22"/>
        </w:rPr>
      </w:pPr>
      <w:r w:rsidRPr="00956D9A">
        <w:rPr>
          <w:rFonts w:ascii="Arial" w:eastAsia="Arial" w:hAnsi="Arial" w:cs="Arial"/>
          <w:bCs/>
          <w:sz w:val="22"/>
          <w:szCs w:val="22"/>
        </w:rPr>
        <w:t xml:space="preserve">Las compañías de entre </w:t>
      </w:r>
      <w:r>
        <w:rPr>
          <w:rFonts w:ascii="Arial" w:eastAsia="Arial" w:hAnsi="Arial" w:cs="Arial"/>
          <w:b/>
          <w:bCs/>
          <w:sz w:val="22"/>
          <w:szCs w:val="22"/>
        </w:rPr>
        <w:t>50 y 249</w:t>
      </w:r>
      <w:r w:rsidRPr="00956D9A">
        <w:rPr>
          <w:rFonts w:ascii="Arial" w:eastAsia="Arial" w:hAnsi="Arial" w:cs="Arial"/>
          <w:b/>
          <w:bCs/>
          <w:sz w:val="22"/>
          <w:szCs w:val="22"/>
        </w:rPr>
        <w:t xml:space="preserve"> empleados</w:t>
      </w:r>
      <w:r w:rsidRPr="00956D9A">
        <w:rPr>
          <w:rFonts w:ascii="Arial" w:eastAsia="Arial" w:hAnsi="Arial" w:cs="Arial"/>
          <w:bCs/>
          <w:sz w:val="22"/>
          <w:szCs w:val="22"/>
        </w:rPr>
        <w:t xml:space="preserve"> son las más optimistas, con una proyección neta de contratación del </w:t>
      </w:r>
      <w:r w:rsidRPr="00956D9A">
        <w:rPr>
          <w:rFonts w:ascii="Arial" w:eastAsia="Arial" w:hAnsi="Arial" w:cs="Arial"/>
          <w:b/>
          <w:bCs/>
          <w:sz w:val="22"/>
          <w:szCs w:val="22"/>
        </w:rPr>
        <w:t>23%</w:t>
      </w:r>
      <w:r w:rsidRPr="00956D9A">
        <w:rPr>
          <w:rFonts w:ascii="Arial" w:eastAsia="Arial" w:hAnsi="Arial" w:cs="Arial"/>
          <w:bCs/>
          <w:sz w:val="22"/>
          <w:szCs w:val="22"/>
        </w:rPr>
        <w:t xml:space="preserve">. Les siguen las </w:t>
      </w:r>
      <w:r>
        <w:rPr>
          <w:rFonts w:ascii="Arial" w:eastAsia="Arial" w:hAnsi="Arial" w:cs="Arial"/>
          <w:bCs/>
          <w:sz w:val="22"/>
          <w:szCs w:val="22"/>
        </w:rPr>
        <w:t xml:space="preserve">grandes </w:t>
      </w:r>
      <w:r w:rsidRPr="00956D9A">
        <w:rPr>
          <w:rFonts w:ascii="Arial" w:eastAsia="Arial" w:hAnsi="Arial" w:cs="Arial"/>
          <w:bCs/>
          <w:sz w:val="22"/>
          <w:szCs w:val="22"/>
        </w:rPr>
        <w:t xml:space="preserve">empresas de entre </w:t>
      </w:r>
      <w:r w:rsidRPr="00C25857">
        <w:rPr>
          <w:rFonts w:ascii="Arial" w:eastAsia="Arial" w:hAnsi="Arial" w:cs="Arial"/>
          <w:b/>
          <w:bCs/>
          <w:sz w:val="22"/>
          <w:szCs w:val="22"/>
        </w:rPr>
        <w:t xml:space="preserve">1.000 </w:t>
      </w:r>
      <w:r>
        <w:rPr>
          <w:rFonts w:ascii="Arial" w:eastAsia="Arial" w:hAnsi="Arial" w:cs="Arial"/>
          <w:b/>
          <w:bCs/>
          <w:sz w:val="22"/>
          <w:szCs w:val="22"/>
        </w:rPr>
        <w:t xml:space="preserve">y </w:t>
      </w:r>
      <w:r w:rsidRPr="00C25857">
        <w:rPr>
          <w:rFonts w:ascii="Arial" w:eastAsia="Arial" w:hAnsi="Arial" w:cs="Arial"/>
          <w:b/>
          <w:bCs/>
          <w:sz w:val="22"/>
          <w:szCs w:val="22"/>
        </w:rPr>
        <w:t>4.999</w:t>
      </w:r>
      <w:r>
        <w:rPr>
          <w:rFonts w:ascii="Arial" w:eastAsia="Arial" w:hAnsi="Arial" w:cs="Arial"/>
          <w:b/>
          <w:bCs/>
          <w:sz w:val="22"/>
          <w:szCs w:val="22"/>
        </w:rPr>
        <w:t xml:space="preserve"> </w:t>
      </w:r>
      <w:r w:rsidRPr="00956D9A">
        <w:rPr>
          <w:rFonts w:ascii="Arial" w:eastAsia="Arial" w:hAnsi="Arial" w:cs="Arial"/>
          <w:b/>
          <w:bCs/>
          <w:sz w:val="22"/>
          <w:szCs w:val="22"/>
        </w:rPr>
        <w:t>empleados</w:t>
      </w:r>
      <w:r w:rsidRPr="00956D9A">
        <w:rPr>
          <w:rFonts w:ascii="Arial" w:eastAsia="Arial" w:hAnsi="Arial" w:cs="Arial"/>
          <w:bCs/>
          <w:sz w:val="22"/>
          <w:szCs w:val="22"/>
        </w:rPr>
        <w:t xml:space="preserve"> con un </w:t>
      </w:r>
      <w:r w:rsidRPr="00956D9A">
        <w:rPr>
          <w:rFonts w:ascii="Arial" w:eastAsia="Arial" w:hAnsi="Arial" w:cs="Arial"/>
          <w:b/>
          <w:bCs/>
          <w:sz w:val="22"/>
          <w:szCs w:val="22"/>
        </w:rPr>
        <w:t>19%</w:t>
      </w:r>
      <w:r w:rsidRPr="00956D9A">
        <w:rPr>
          <w:rFonts w:ascii="Arial" w:eastAsia="Arial" w:hAnsi="Arial" w:cs="Arial"/>
          <w:bCs/>
          <w:sz w:val="22"/>
          <w:szCs w:val="22"/>
        </w:rPr>
        <w:t xml:space="preserve">, y las de entre </w:t>
      </w:r>
      <w:r>
        <w:rPr>
          <w:rFonts w:ascii="Arial" w:eastAsia="Arial" w:hAnsi="Arial" w:cs="Arial"/>
          <w:b/>
          <w:bCs/>
          <w:sz w:val="22"/>
          <w:szCs w:val="22"/>
        </w:rPr>
        <w:t>250 y 999 empleados</w:t>
      </w:r>
      <w:r w:rsidRPr="00956D9A">
        <w:rPr>
          <w:rFonts w:ascii="Arial" w:eastAsia="Arial" w:hAnsi="Arial" w:cs="Arial"/>
          <w:bCs/>
          <w:sz w:val="22"/>
          <w:szCs w:val="22"/>
        </w:rPr>
        <w:t xml:space="preserve">, con un </w:t>
      </w:r>
      <w:r w:rsidRPr="00956D9A">
        <w:rPr>
          <w:rFonts w:ascii="Arial" w:eastAsia="Arial" w:hAnsi="Arial" w:cs="Arial"/>
          <w:b/>
          <w:bCs/>
          <w:sz w:val="22"/>
          <w:szCs w:val="22"/>
        </w:rPr>
        <w:t>18%</w:t>
      </w:r>
      <w:r w:rsidRPr="00956D9A">
        <w:rPr>
          <w:rFonts w:ascii="Arial" w:eastAsia="Arial" w:hAnsi="Arial" w:cs="Arial"/>
          <w:bCs/>
          <w:sz w:val="22"/>
          <w:szCs w:val="22"/>
        </w:rPr>
        <w:t>.</w:t>
      </w:r>
    </w:p>
    <w:p w14:paraId="0EA2DF9A" w14:textId="77777777" w:rsidR="00983A48" w:rsidRDefault="00983A48" w:rsidP="00983A48">
      <w:pPr>
        <w:spacing w:before="120" w:line="288" w:lineRule="auto"/>
        <w:jc w:val="both"/>
        <w:rPr>
          <w:rFonts w:ascii="Arial" w:eastAsia="Arial" w:hAnsi="Arial" w:cs="Arial"/>
          <w:bCs/>
          <w:sz w:val="22"/>
          <w:szCs w:val="22"/>
        </w:rPr>
      </w:pPr>
      <w:r>
        <w:rPr>
          <w:rFonts w:ascii="Arial" w:eastAsia="Arial" w:hAnsi="Arial" w:cs="Arial"/>
          <w:bCs/>
          <w:sz w:val="22"/>
          <w:szCs w:val="22"/>
        </w:rPr>
        <w:t>L</w:t>
      </w:r>
      <w:r w:rsidRPr="00956D9A">
        <w:rPr>
          <w:rFonts w:ascii="Arial" w:eastAsia="Arial" w:hAnsi="Arial" w:cs="Arial"/>
          <w:bCs/>
          <w:sz w:val="22"/>
          <w:szCs w:val="22"/>
        </w:rPr>
        <w:t xml:space="preserve">as compañías de </w:t>
      </w:r>
      <w:r w:rsidRPr="00956D9A">
        <w:rPr>
          <w:rFonts w:ascii="Arial" w:eastAsia="Arial" w:hAnsi="Arial" w:cs="Arial"/>
          <w:b/>
          <w:bCs/>
          <w:sz w:val="22"/>
          <w:szCs w:val="22"/>
        </w:rPr>
        <w:t>10 a 49 empleados</w:t>
      </w:r>
      <w:r w:rsidRPr="00956D9A">
        <w:rPr>
          <w:rFonts w:ascii="Arial" w:eastAsia="Arial" w:hAnsi="Arial" w:cs="Arial"/>
          <w:bCs/>
          <w:sz w:val="22"/>
          <w:szCs w:val="22"/>
        </w:rPr>
        <w:t xml:space="preserve"> se sitúan en un </w:t>
      </w:r>
      <w:r>
        <w:rPr>
          <w:rFonts w:ascii="Arial" w:eastAsia="Arial" w:hAnsi="Arial" w:cs="Arial"/>
          <w:b/>
          <w:bCs/>
          <w:sz w:val="22"/>
          <w:szCs w:val="22"/>
        </w:rPr>
        <w:t>17</w:t>
      </w:r>
      <w:r w:rsidRPr="00956D9A">
        <w:rPr>
          <w:rFonts w:ascii="Arial" w:eastAsia="Arial" w:hAnsi="Arial" w:cs="Arial"/>
          <w:b/>
          <w:bCs/>
          <w:sz w:val="22"/>
          <w:szCs w:val="22"/>
        </w:rPr>
        <w:t>%</w:t>
      </w:r>
      <w:r w:rsidRPr="00956D9A">
        <w:rPr>
          <w:rFonts w:ascii="Arial" w:eastAsia="Arial" w:hAnsi="Arial" w:cs="Arial"/>
          <w:bCs/>
          <w:sz w:val="22"/>
          <w:szCs w:val="22"/>
        </w:rPr>
        <w:t xml:space="preserve">. En el extremo opuesto, las grandes empresas de más de </w:t>
      </w:r>
      <w:r w:rsidRPr="00956D9A">
        <w:rPr>
          <w:rFonts w:ascii="Arial" w:eastAsia="Arial" w:hAnsi="Arial" w:cs="Arial"/>
          <w:b/>
          <w:bCs/>
          <w:sz w:val="22"/>
          <w:szCs w:val="22"/>
        </w:rPr>
        <w:t>5.000 empleados</w:t>
      </w:r>
      <w:r w:rsidRPr="00956D9A">
        <w:rPr>
          <w:rFonts w:ascii="Arial" w:eastAsia="Arial" w:hAnsi="Arial" w:cs="Arial"/>
          <w:bCs/>
          <w:sz w:val="22"/>
          <w:szCs w:val="22"/>
        </w:rPr>
        <w:t xml:space="preserve"> </w:t>
      </w:r>
      <w:r>
        <w:rPr>
          <w:rFonts w:ascii="Arial" w:eastAsia="Arial" w:hAnsi="Arial" w:cs="Arial"/>
          <w:bCs/>
          <w:sz w:val="22"/>
          <w:szCs w:val="22"/>
        </w:rPr>
        <w:t>presentan un 16%.</w:t>
      </w:r>
    </w:p>
    <w:p w14:paraId="1968DB95" w14:textId="77777777" w:rsidR="00983A48" w:rsidRDefault="00983A48" w:rsidP="00983A4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Finalmente, </w:t>
      </w:r>
      <w:r w:rsidRPr="00956D9A">
        <w:rPr>
          <w:rFonts w:ascii="Arial" w:eastAsia="Arial" w:hAnsi="Arial" w:cs="Arial"/>
          <w:bCs/>
          <w:sz w:val="22"/>
          <w:szCs w:val="22"/>
        </w:rPr>
        <w:t xml:space="preserve">las </w:t>
      </w:r>
      <w:r w:rsidRPr="00956D9A">
        <w:rPr>
          <w:rFonts w:ascii="Arial" w:eastAsia="Arial" w:hAnsi="Arial" w:cs="Arial"/>
          <w:b/>
          <w:bCs/>
          <w:sz w:val="22"/>
          <w:szCs w:val="22"/>
        </w:rPr>
        <w:t xml:space="preserve">microempresas </w:t>
      </w:r>
      <w:r>
        <w:rPr>
          <w:rFonts w:ascii="Arial" w:eastAsia="Arial" w:hAnsi="Arial" w:cs="Arial"/>
          <w:b/>
          <w:bCs/>
          <w:sz w:val="22"/>
          <w:szCs w:val="22"/>
        </w:rPr>
        <w:t>(</w:t>
      </w:r>
      <w:r w:rsidRPr="00956D9A">
        <w:rPr>
          <w:rFonts w:ascii="Arial" w:eastAsia="Arial" w:hAnsi="Arial" w:cs="Arial"/>
          <w:b/>
          <w:bCs/>
          <w:sz w:val="22"/>
          <w:szCs w:val="22"/>
        </w:rPr>
        <w:t>menos de 10 empleados</w:t>
      </w:r>
      <w:r>
        <w:rPr>
          <w:rFonts w:ascii="Arial" w:eastAsia="Arial" w:hAnsi="Arial" w:cs="Arial"/>
          <w:b/>
          <w:bCs/>
          <w:sz w:val="22"/>
          <w:szCs w:val="22"/>
        </w:rPr>
        <w:t>)</w:t>
      </w:r>
      <w:r w:rsidRPr="00956D9A">
        <w:rPr>
          <w:rFonts w:ascii="Arial" w:eastAsia="Arial" w:hAnsi="Arial" w:cs="Arial"/>
          <w:bCs/>
          <w:sz w:val="22"/>
          <w:szCs w:val="22"/>
        </w:rPr>
        <w:t xml:space="preserve"> presentan unas perspectivas</w:t>
      </w:r>
      <w:r>
        <w:rPr>
          <w:rFonts w:ascii="Arial" w:eastAsia="Arial" w:hAnsi="Arial" w:cs="Arial"/>
          <w:bCs/>
          <w:sz w:val="22"/>
          <w:szCs w:val="22"/>
        </w:rPr>
        <w:t xml:space="preserve"> negativas</w:t>
      </w:r>
      <w:r w:rsidRPr="00956D9A">
        <w:rPr>
          <w:rFonts w:ascii="Arial" w:eastAsia="Arial" w:hAnsi="Arial" w:cs="Arial"/>
          <w:bCs/>
          <w:sz w:val="22"/>
          <w:szCs w:val="22"/>
        </w:rPr>
        <w:t xml:space="preserve"> del </w:t>
      </w:r>
      <w:r>
        <w:rPr>
          <w:rFonts w:ascii="Arial" w:eastAsia="Arial" w:hAnsi="Arial" w:cs="Arial"/>
          <w:b/>
          <w:bCs/>
          <w:sz w:val="22"/>
          <w:szCs w:val="22"/>
        </w:rPr>
        <w:t>-12</w:t>
      </w:r>
      <w:r w:rsidRPr="00956D9A">
        <w:rPr>
          <w:rFonts w:ascii="Arial" w:eastAsia="Arial" w:hAnsi="Arial" w:cs="Arial"/>
          <w:b/>
          <w:bCs/>
          <w:sz w:val="22"/>
          <w:szCs w:val="22"/>
        </w:rPr>
        <w:t>%</w:t>
      </w:r>
      <w:r>
        <w:rPr>
          <w:rFonts w:ascii="Arial" w:eastAsia="Arial" w:hAnsi="Arial" w:cs="Arial"/>
          <w:bCs/>
          <w:sz w:val="22"/>
          <w:szCs w:val="22"/>
        </w:rPr>
        <w:t>.</w:t>
      </w:r>
    </w:p>
    <w:p w14:paraId="3A217743" w14:textId="77777777" w:rsidR="00983A48" w:rsidRDefault="00983A48" w:rsidP="00195CAB">
      <w:pPr>
        <w:spacing w:before="120" w:line="288" w:lineRule="auto"/>
        <w:ind w:right="-1"/>
        <w:jc w:val="both"/>
        <w:rPr>
          <w:rFonts w:ascii="Arial" w:eastAsiaTheme="minorEastAsia" w:hAnsi="Arial" w:cs="Arial"/>
          <w:b/>
          <w:bCs/>
          <w:sz w:val="22"/>
          <w:szCs w:val="22"/>
          <w:lang w:eastAsia="zh-CN"/>
        </w:rPr>
      </w:pPr>
    </w:p>
    <w:p w14:paraId="2E8CF5DB" w14:textId="1903996C" w:rsidR="002E2F04" w:rsidRPr="00983A48" w:rsidRDefault="00030508" w:rsidP="00195CAB">
      <w:pPr>
        <w:spacing w:before="120" w:line="288" w:lineRule="auto"/>
        <w:ind w:right="-1"/>
        <w:jc w:val="both"/>
        <w:rPr>
          <w:rFonts w:ascii="Arial" w:eastAsiaTheme="minorEastAsia" w:hAnsi="Arial" w:cs="Arial"/>
          <w:b/>
          <w:bCs/>
          <w:sz w:val="22"/>
          <w:szCs w:val="22"/>
          <w:lang w:eastAsia="zh-CN"/>
        </w:rPr>
      </w:pPr>
      <w:r w:rsidRPr="00983A48">
        <w:rPr>
          <w:rFonts w:ascii="Arial" w:eastAsiaTheme="minorEastAsia" w:hAnsi="Arial" w:cs="Arial"/>
          <w:b/>
          <w:bCs/>
          <w:sz w:val="22"/>
          <w:szCs w:val="22"/>
          <w:lang w:eastAsia="zh-CN"/>
        </w:rPr>
        <w:t>España</w:t>
      </w:r>
      <w:r w:rsidR="00D970E4" w:rsidRPr="00983A48">
        <w:rPr>
          <w:rFonts w:ascii="Arial" w:eastAsiaTheme="minorEastAsia" w:hAnsi="Arial" w:cs="Arial"/>
          <w:b/>
          <w:bCs/>
          <w:sz w:val="22"/>
          <w:szCs w:val="22"/>
          <w:lang w:eastAsia="zh-CN"/>
        </w:rPr>
        <w:t xml:space="preserve"> está a 6 puntos </w:t>
      </w:r>
      <w:r w:rsidRPr="00983A48">
        <w:rPr>
          <w:rFonts w:ascii="Arial" w:eastAsiaTheme="minorEastAsia" w:hAnsi="Arial" w:cs="Arial"/>
          <w:b/>
          <w:bCs/>
          <w:sz w:val="22"/>
          <w:szCs w:val="22"/>
          <w:lang w:eastAsia="zh-CN"/>
        </w:rPr>
        <w:t xml:space="preserve">de la media global de previsiones de contratación </w:t>
      </w:r>
    </w:p>
    <w:p w14:paraId="63788084" w14:textId="5CE11CEF" w:rsidR="004F7AE3" w:rsidRPr="00983A48" w:rsidRDefault="004F7AE3" w:rsidP="004F7AE3">
      <w:pPr>
        <w:spacing w:before="120" w:line="288" w:lineRule="auto"/>
        <w:jc w:val="both"/>
        <w:rPr>
          <w:rFonts w:ascii="Arial" w:hAnsi="Arial" w:cs="Arial"/>
          <w:sz w:val="22"/>
          <w:szCs w:val="22"/>
        </w:rPr>
      </w:pPr>
      <w:bookmarkStart w:id="8" w:name="_Hlk176278298"/>
      <w:bookmarkStart w:id="9" w:name="_Hlk161068777"/>
      <w:r w:rsidRPr="00983A48">
        <w:rPr>
          <w:rFonts w:ascii="Arial" w:hAnsi="Arial" w:cs="Arial"/>
          <w:sz w:val="22"/>
          <w:szCs w:val="22"/>
        </w:rPr>
        <w:t xml:space="preserve">A nivel global, las previsiones de contratación se mantienen estables, con </w:t>
      </w:r>
      <w:r w:rsidRPr="00983A48">
        <w:rPr>
          <w:rFonts w:ascii="Arial" w:hAnsi="Arial" w:cs="Arial"/>
          <w:b/>
          <w:bCs/>
          <w:sz w:val="22"/>
          <w:szCs w:val="22"/>
        </w:rPr>
        <w:t>un 2</w:t>
      </w:r>
      <w:r w:rsidR="00D970E4" w:rsidRPr="00983A48">
        <w:rPr>
          <w:rFonts w:ascii="Arial" w:hAnsi="Arial" w:cs="Arial"/>
          <w:b/>
          <w:bCs/>
          <w:sz w:val="22"/>
          <w:szCs w:val="22"/>
        </w:rPr>
        <w:t>3</w:t>
      </w:r>
      <w:r w:rsidRPr="00983A48">
        <w:rPr>
          <w:rFonts w:ascii="Arial" w:hAnsi="Arial" w:cs="Arial"/>
          <w:b/>
          <w:bCs/>
          <w:sz w:val="22"/>
          <w:szCs w:val="22"/>
        </w:rPr>
        <w:t xml:space="preserve">% </w:t>
      </w:r>
      <w:r w:rsidR="00D970E4" w:rsidRPr="00983A48">
        <w:rPr>
          <w:rFonts w:ascii="Arial" w:hAnsi="Arial" w:cs="Arial"/>
          <w:b/>
          <w:bCs/>
          <w:sz w:val="22"/>
          <w:szCs w:val="22"/>
        </w:rPr>
        <w:t xml:space="preserve">neto </w:t>
      </w:r>
      <w:r w:rsidRPr="00983A48">
        <w:rPr>
          <w:rFonts w:ascii="Arial" w:hAnsi="Arial" w:cs="Arial"/>
          <w:b/>
          <w:bCs/>
          <w:sz w:val="22"/>
          <w:szCs w:val="22"/>
        </w:rPr>
        <w:t xml:space="preserve">de las empresas que prevén aumentar sus plantillas en el </w:t>
      </w:r>
      <w:r w:rsidR="00D970E4" w:rsidRPr="00983A48">
        <w:rPr>
          <w:rFonts w:ascii="Arial" w:hAnsi="Arial" w:cs="Arial"/>
          <w:b/>
          <w:bCs/>
          <w:sz w:val="22"/>
          <w:szCs w:val="22"/>
        </w:rPr>
        <w:t xml:space="preserve">último </w:t>
      </w:r>
      <w:r w:rsidRPr="00983A48">
        <w:rPr>
          <w:rFonts w:ascii="Arial" w:hAnsi="Arial" w:cs="Arial"/>
          <w:b/>
          <w:bCs/>
          <w:sz w:val="22"/>
          <w:szCs w:val="22"/>
        </w:rPr>
        <w:t>trimestre de 2025</w:t>
      </w:r>
      <w:r w:rsidRPr="00983A48">
        <w:rPr>
          <w:rFonts w:ascii="Arial" w:hAnsi="Arial" w:cs="Arial"/>
          <w:sz w:val="22"/>
          <w:szCs w:val="22"/>
        </w:rPr>
        <w:t xml:space="preserve">, apenas </w:t>
      </w:r>
      <w:r w:rsidR="00950D36" w:rsidRPr="00983A48">
        <w:rPr>
          <w:rFonts w:ascii="Arial" w:hAnsi="Arial" w:cs="Arial"/>
          <w:sz w:val="22"/>
          <w:szCs w:val="22"/>
        </w:rPr>
        <w:t xml:space="preserve">1 </w:t>
      </w:r>
      <w:r w:rsidRPr="00983A48">
        <w:rPr>
          <w:rFonts w:ascii="Arial" w:hAnsi="Arial" w:cs="Arial"/>
          <w:sz w:val="22"/>
          <w:szCs w:val="22"/>
        </w:rPr>
        <w:t xml:space="preserve">punto por debajo del trimestre anterior y </w:t>
      </w:r>
      <w:r w:rsidR="00950D36" w:rsidRPr="00983A48">
        <w:rPr>
          <w:rFonts w:ascii="Arial" w:hAnsi="Arial" w:cs="Arial"/>
          <w:sz w:val="22"/>
          <w:szCs w:val="22"/>
        </w:rPr>
        <w:t xml:space="preserve">2 </w:t>
      </w:r>
      <w:r w:rsidRPr="00983A48">
        <w:rPr>
          <w:rFonts w:ascii="Arial" w:hAnsi="Arial" w:cs="Arial"/>
          <w:sz w:val="22"/>
          <w:szCs w:val="22"/>
        </w:rPr>
        <w:t>puntos por encima con respecto a hace un año. Este resultado se basa en que un 40% de las compañías espera incrementar su equipo, un 42% planea mantenerlo sin cambios y solo un 16% anticipa reducciones.</w:t>
      </w:r>
      <w:r w:rsidR="0069236B" w:rsidRPr="00983A48">
        <w:rPr>
          <w:rFonts w:ascii="Arial" w:hAnsi="Arial" w:cs="Arial"/>
          <w:sz w:val="22"/>
          <w:szCs w:val="22"/>
        </w:rPr>
        <w:t xml:space="preserve"> Por tanto, España se sitúa </w:t>
      </w:r>
      <w:r w:rsidR="0069236B" w:rsidRPr="00983A48">
        <w:rPr>
          <w:rFonts w:ascii="Arial" w:hAnsi="Arial" w:cs="Arial"/>
          <w:b/>
          <w:bCs/>
          <w:sz w:val="22"/>
          <w:szCs w:val="22"/>
        </w:rPr>
        <w:t>6 puntos por debajo de la media global</w:t>
      </w:r>
      <w:r w:rsidR="0069236B" w:rsidRPr="00983A48">
        <w:rPr>
          <w:rFonts w:ascii="Arial" w:hAnsi="Arial" w:cs="Arial"/>
          <w:sz w:val="22"/>
          <w:szCs w:val="22"/>
        </w:rPr>
        <w:t xml:space="preserve">. Respecto al promedio </w:t>
      </w:r>
      <w:r w:rsidR="00C01CA2" w:rsidRPr="00983A48">
        <w:rPr>
          <w:rFonts w:ascii="Arial" w:hAnsi="Arial" w:cs="Arial"/>
          <w:sz w:val="22"/>
          <w:szCs w:val="22"/>
        </w:rPr>
        <w:t>e</w:t>
      </w:r>
      <w:r w:rsidR="0069236B" w:rsidRPr="00983A48">
        <w:rPr>
          <w:rFonts w:ascii="Arial" w:hAnsi="Arial" w:cs="Arial"/>
          <w:sz w:val="22"/>
          <w:szCs w:val="22"/>
        </w:rPr>
        <w:t>uropeo, está en un 18%, por lo que el mercado espa</w:t>
      </w:r>
      <w:r w:rsidR="00C01CA2" w:rsidRPr="00983A48">
        <w:rPr>
          <w:rFonts w:ascii="Arial" w:hAnsi="Arial" w:cs="Arial"/>
          <w:sz w:val="22"/>
          <w:szCs w:val="22"/>
        </w:rPr>
        <w:t>ñol se sitúa prácticamente en línea con los datos de los países de su entorno.</w:t>
      </w:r>
    </w:p>
    <w:p w14:paraId="2A0FCDC4" w14:textId="19505C52" w:rsidR="00E1195B" w:rsidRPr="00983A48" w:rsidRDefault="00983A48" w:rsidP="004F7AE3">
      <w:pPr>
        <w:spacing w:before="120" w:line="288" w:lineRule="auto"/>
        <w:jc w:val="both"/>
        <w:rPr>
          <w:rFonts w:ascii="Arial" w:hAnsi="Arial" w:cs="Arial"/>
          <w:sz w:val="22"/>
          <w:szCs w:val="22"/>
        </w:rPr>
      </w:pPr>
      <w:r w:rsidRPr="00983A48">
        <w:rPr>
          <w:rFonts w:ascii="Arial" w:hAnsi="Arial" w:cs="Arial"/>
          <w:sz w:val="22"/>
          <w:szCs w:val="22"/>
        </w:rPr>
        <w:t>Por países, l</w:t>
      </w:r>
      <w:r w:rsidR="004F7AE3" w:rsidRPr="00983A48">
        <w:rPr>
          <w:rFonts w:ascii="Arial" w:hAnsi="Arial" w:cs="Arial"/>
          <w:sz w:val="22"/>
          <w:szCs w:val="22"/>
        </w:rPr>
        <w:t xml:space="preserve">os </w:t>
      </w:r>
      <w:r w:rsidRPr="00983A48">
        <w:rPr>
          <w:rFonts w:ascii="Arial" w:hAnsi="Arial" w:cs="Arial"/>
          <w:sz w:val="22"/>
          <w:szCs w:val="22"/>
        </w:rPr>
        <w:t xml:space="preserve">que cuentan </w:t>
      </w:r>
      <w:r w:rsidR="004F7AE3" w:rsidRPr="00983A48">
        <w:rPr>
          <w:rFonts w:ascii="Arial" w:hAnsi="Arial" w:cs="Arial"/>
          <w:sz w:val="22"/>
          <w:szCs w:val="22"/>
        </w:rPr>
        <w:t>con las previsiones más optimistas son Emiratos Árabes Unidos (48%), India (42%) y Costa Rica (41%). En el extremo opuesto, se encuentran Argentina (3%), Hungría (5%) y Rumanía (6%).</w:t>
      </w:r>
    </w:p>
    <w:p w14:paraId="6D492449" w14:textId="77777777" w:rsidR="004F7AE3" w:rsidRPr="009E4D15" w:rsidRDefault="004F7AE3" w:rsidP="004F7AE3">
      <w:pPr>
        <w:spacing w:before="120" w:line="288" w:lineRule="auto"/>
        <w:jc w:val="both"/>
        <w:rPr>
          <w:rFonts w:ascii="Arial" w:hAnsi="Arial" w:cs="Arial"/>
          <w:sz w:val="22"/>
          <w:szCs w:val="22"/>
        </w:rPr>
      </w:pPr>
    </w:p>
    <w:p w14:paraId="46151E39" w14:textId="7A626457" w:rsidR="009E4D15" w:rsidRPr="00E1195B" w:rsidRDefault="00204E64" w:rsidP="009E4D15">
      <w:pPr>
        <w:spacing w:before="120" w:line="288" w:lineRule="auto"/>
        <w:jc w:val="both"/>
        <w:rPr>
          <w:rFonts w:ascii="Arial" w:eastAsiaTheme="minorEastAsia" w:hAnsi="Arial" w:cs="Arial"/>
          <w:color w:val="808080" w:themeColor="background1" w:themeShade="80"/>
          <w:kern w:val="24"/>
          <w:sz w:val="30"/>
          <w:szCs w:val="30"/>
        </w:rPr>
      </w:pPr>
      <w:r w:rsidRPr="00E1195B">
        <w:rPr>
          <w:rFonts w:ascii="Arial" w:hAnsi="Arial" w:cs="Arial"/>
          <w:b/>
          <w:bCs/>
          <w:color w:val="808080" w:themeColor="background1" w:themeShade="80"/>
          <w:sz w:val="20"/>
          <w:szCs w:val="20"/>
        </w:rPr>
        <w:t>Sobre el Estudio de Proyección de Empleo de ManpowerGroup</w:t>
      </w:r>
      <w:r w:rsidR="008C7DC2" w:rsidRPr="00E1195B">
        <w:rPr>
          <w:rFonts w:ascii="Arial" w:hAnsi="Arial" w:cs="Arial"/>
          <w:b/>
          <w:bCs/>
          <w:color w:val="808080" w:themeColor="background1" w:themeShade="80"/>
          <w:sz w:val="20"/>
          <w:szCs w:val="20"/>
        </w:rPr>
        <w:t>:</w:t>
      </w:r>
      <w:r w:rsidR="00C76422" w:rsidRPr="00E1195B">
        <w:rPr>
          <w:rFonts w:ascii="Arial" w:hAnsi="Arial" w:cs="Arial"/>
          <w:b/>
          <w:bCs/>
          <w:color w:val="808080" w:themeColor="background1" w:themeShade="80"/>
          <w:sz w:val="20"/>
          <w:szCs w:val="20"/>
        </w:rPr>
        <w:t xml:space="preserve"> </w:t>
      </w:r>
      <w:bookmarkStart w:id="10" w:name="_Hlk90222956"/>
      <w:bookmarkStart w:id="11" w:name="_Hlk90207554"/>
      <w:bookmarkEnd w:id="4"/>
      <w:bookmarkEnd w:id="5"/>
      <w:bookmarkEnd w:id="6"/>
      <w:r w:rsidR="00DC55EB" w:rsidRPr="00E1195B">
        <w:rPr>
          <w:rFonts w:ascii="Arial" w:hAnsi="Arial" w:cs="Arial"/>
          <w:color w:val="808080" w:themeColor="background1" w:themeShade="80"/>
          <w:sz w:val="20"/>
          <w:szCs w:val="20"/>
        </w:rPr>
        <w:t>e</w:t>
      </w:r>
      <w:r w:rsidR="00910200" w:rsidRPr="00E1195B">
        <w:rPr>
          <w:rFonts w:ascii="Arial" w:hAnsi="Arial" w:cs="Arial"/>
          <w:color w:val="808080" w:themeColor="background1" w:themeShade="80"/>
          <w:sz w:val="20"/>
          <w:szCs w:val="20"/>
        </w:rPr>
        <w:t xml:space="preserve">ste estudio se basa en entrevistas realizadas a </w:t>
      </w:r>
      <w:r w:rsidR="005229BB">
        <w:rPr>
          <w:rFonts w:ascii="Arial" w:hAnsi="Arial" w:cs="Arial"/>
          <w:b/>
          <w:bCs/>
          <w:color w:val="808080" w:themeColor="background1" w:themeShade="80"/>
          <w:sz w:val="20"/>
          <w:szCs w:val="20"/>
        </w:rPr>
        <w:t>40.533</w:t>
      </w:r>
      <w:r w:rsidR="00B25727" w:rsidRPr="00E1195B">
        <w:rPr>
          <w:rFonts w:ascii="Arial" w:hAnsi="Arial" w:cs="Arial"/>
          <w:b/>
          <w:bCs/>
          <w:color w:val="808080" w:themeColor="background1" w:themeShade="80"/>
          <w:sz w:val="20"/>
          <w:szCs w:val="20"/>
        </w:rPr>
        <w:t xml:space="preserve"> </w:t>
      </w:r>
      <w:r w:rsidR="00910200" w:rsidRPr="00E1195B">
        <w:rPr>
          <w:rFonts w:ascii="Arial" w:hAnsi="Arial" w:cs="Arial"/>
          <w:b/>
          <w:bCs/>
          <w:color w:val="808080" w:themeColor="background1" w:themeShade="80"/>
          <w:sz w:val="20"/>
          <w:szCs w:val="20"/>
        </w:rPr>
        <w:t>empresas de todo el mundo</w:t>
      </w:r>
      <w:r w:rsidR="005229BB">
        <w:rPr>
          <w:rFonts w:ascii="Arial" w:hAnsi="Arial" w:cs="Arial"/>
          <w:b/>
          <w:bCs/>
          <w:color w:val="808080" w:themeColor="background1" w:themeShade="80"/>
          <w:sz w:val="20"/>
          <w:szCs w:val="20"/>
        </w:rPr>
        <w:t xml:space="preserve">, </w:t>
      </w:r>
      <w:r w:rsidR="00910200" w:rsidRPr="00E1195B">
        <w:rPr>
          <w:rFonts w:ascii="Arial" w:hAnsi="Arial" w:cs="Arial"/>
          <w:color w:val="808080" w:themeColor="background1" w:themeShade="80"/>
          <w:sz w:val="20"/>
          <w:szCs w:val="20"/>
        </w:rPr>
        <w:t>tanto del sector público como del privado, de 4</w:t>
      </w:r>
      <w:r w:rsidR="00530474">
        <w:rPr>
          <w:rFonts w:ascii="Arial" w:hAnsi="Arial" w:cs="Arial"/>
          <w:color w:val="808080" w:themeColor="background1" w:themeShade="80"/>
          <w:sz w:val="20"/>
          <w:szCs w:val="20"/>
        </w:rPr>
        <w:t>2</w:t>
      </w:r>
      <w:r w:rsidR="00910200" w:rsidRPr="00E1195B">
        <w:rPr>
          <w:rFonts w:ascii="Arial" w:hAnsi="Arial" w:cs="Arial"/>
          <w:color w:val="808080" w:themeColor="background1" w:themeShade="80"/>
          <w:sz w:val="20"/>
          <w:szCs w:val="20"/>
        </w:rPr>
        <w:t xml:space="preserve"> países y territorios, y su objetivo es medir las tendencias de empleo previstas para cada trimestre. Esta muestra permite realizar un análisis por sectores y regiones</w:t>
      </w:r>
      <w:r w:rsidR="00493CFD" w:rsidRPr="00E1195B">
        <w:rPr>
          <w:rFonts w:ascii="Arial" w:hAnsi="Arial" w:cs="Arial"/>
          <w:color w:val="808080" w:themeColor="background1" w:themeShade="80"/>
          <w:sz w:val="20"/>
          <w:szCs w:val="20"/>
        </w:rPr>
        <w:t xml:space="preserve"> -ya que están estandarizados en todos los mercados- </w:t>
      </w:r>
      <w:r w:rsidR="00910200" w:rsidRPr="00E1195B">
        <w:rPr>
          <w:rFonts w:ascii="Arial" w:hAnsi="Arial" w:cs="Arial"/>
          <w:color w:val="808080" w:themeColor="background1" w:themeShade="80"/>
          <w:sz w:val="20"/>
          <w:szCs w:val="20"/>
        </w:rPr>
        <w:t>y así ofrecer una información más detallada.</w:t>
      </w:r>
      <w:r w:rsidR="009E4D15" w:rsidRPr="00E1195B">
        <w:rPr>
          <w:rFonts w:ascii="Arial" w:eastAsiaTheme="minorEastAsia" w:hAnsi="Arial" w:cs="Arial"/>
          <w:color w:val="808080" w:themeColor="background1" w:themeShade="80"/>
          <w:kern w:val="24"/>
          <w:sz w:val="30"/>
          <w:szCs w:val="30"/>
        </w:rPr>
        <w:t xml:space="preserve"> </w:t>
      </w:r>
    </w:p>
    <w:p w14:paraId="52419D44" w14:textId="57D8AD4B" w:rsidR="00143F63" w:rsidRPr="00E1195B" w:rsidRDefault="00493CFD" w:rsidP="00195CAB">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t>E</w:t>
      </w:r>
      <w:r w:rsidR="00910200" w:rsidRPr="00E1195B">
        <w:rPr>
          <w:rFonts w:ascii="Arial" w:hAnsi="Arial" w:cs="Arial"/>
          <w:color w:val="808080" w:themeColor="background1" w:themeShade="80"/>
          <w:sz w:val="20"/>
          <w:szCs w:val="20"/>
        </w:rPr>
        <w:t>l estudio obt</w:t>
      </w:r>
      <w:r w:rsidRPr="00E1195B">
        <w:rPr>
          <w:rFonts w:ascii="Arial" w:hAnsi="Arial" w:cs="Arial"/>
          <w:color w:val="808080" w:themeColor="background1" w:themeShade="80"/>
          <w:sz w:val="20"/>
          <w:szCs w:val="20"/>
        </w:rPr>
        <w:t>iene</w:t>
      </w:r>
      <w:r w:rsidR="00910200" w:rsidRPr="00E1195B">
        <w:rPr>
          <w:rFonts w:ascii="Arial" w:hAnsi="Arial" w:cs="Arial"/>
          <w:color w:val="808080" w:themeColor="background1" w:themeShade="80"/>
          <w:sz w:val="20"/>
          <w:szCs w:val="20"/>
        </w:rPr>
        <w:t xml:space="preserve"> su información a partir de una única pregunta: </w:t>
      </w:r>
      <w:r w:rsidR="00D14253" w:rsidRPr="00E1195B">
        <w:rPr>
          <w:rFonts w:ascii="Arial" w:hAnsi="Arial" w:cs="Arial"/>
          <w:b/>
          <w:bCs/>
          <w:color w:val="808080" w:themeColor="background1" w:themeShade="80"/>
          <w:sz w:val="20"/>
          <w:szCs w:val="20"/>
        </w:rPr>
        <w:t>“¿Cómo prevé usted que cambiará el empleo total en su empresa en el próximo trimestre, desde</w:t>
      </w:r>
      <w:r w:rsidR="002E2F04" w:rsidRPr="00E1195B">
        <w:rPr>
          <w:rFonts w:ascii="Arial" w:hAnsi="Arial" w:cs="Arial"/>
          <w:b/>
          <w:bCs/>
          <w:color w:val="808080" w:themeColor="background1" w:themeShade="80"/>
          <w:sz w:val="20"/>
          <w:szCs w:val="20"/>
        </w:rPr>
        <w:t xml:space="preserve"> </w:t>
      </w:r>
      <w:r w:rsidR="000D00D5">
        <w:rPr>
          <w:rFonts w:ascii="Arial" w:hAnsi="Arial" w:cs="Arial"/>
          <w:b/>
          <w:bCs/>
          <w:color w:val="808080" w:themeColor="background1" w:themeShade="80"/>
          <w:sz w:val="20"/>
          <w:szCs w:val="20"/>
        </w:rPr>
        <w:t xml:space="preserve">julio a septiembre </w:t>
      </w:r>
      <w:r w:rsidR="00415A6A" w:rsidRPr="00E1195B">
        <w:rPr>
          <w:rFonts w:ascii="Arial" w:hAnsi="Arial" w:cs="Arial"/>
          <w:b/>
          <w:bCs/>
          <w:color w:val="808080" w:themeColor="background1" w:themeShade="80"/>
          <w:sz w:val="20"/>
          <w:szCs w:val="20"/>
        </w:rPr>
        <w:t>de 2025</w:t>
      </w:r>
      <w:r w:rsidR="00D14253" w:rsidRPr="00E1195B">
        <w:rPr>
          <w:rFonts w:ascii="Arial" w:hAnsi="Arial" w:cs="Arial"/>
          <w:b/>
          <w:bCs/>
          <w:color w:val="808080" w:themeColor="background1" w:themeShade="80"/>
          <w:sz w:val="20"/>
          <w:szCs w:val="20"/>
        </w:rPr>
        <w:t>, en comparación con el trimestre actual?”</w:t>
      </w:r>
      <w:r w:rsidR="00910200" w:rsidRPr="00E1195B">
        <w:rPr>
          <w:rFonts w:ascii="Arial" w:hAnsi="Arial" w:cs="Arial"/>
          <w:color w:val="808080" w:themeColor="background1" w:themeShade="80"/>
          <w:sz w:val="20"/>
          <w:szCs w:val="20"/>
        </w:rPr>
        <w:t>.</w:t>
      </w:r>
      <w:r w:rsidRPr="00E1195B">
        <w:rPr>
          <w:rFonts w:ascii="Arial" w:hAnsi="Arial" w:cs="Arial"/>
          <w:color w:val="808080" w:themeColor="background1" w:themeShade="80"/>
          <w:sz w:val="20"/>
          <w:szCs w:val="20"/>
        </w:rPr>
        <w:t xml:space="preserve"> </w:t>
      </w:r>
      <w:r w:rsidR="00A73C99" w:rsidRPr="00E1195B">
        <w:rPr>
          <w:rFonts w:ascii="Arial" w:hAnsi="Arial" w:cs="Arial"/>
          <w:color w:val="808080" w:themeColor="background1" w:themeShade="80"/>
          <w:sz w:val="20"/>
          <w:szCs w:val="20"/>
        </w:rPr>
        <w:t xml:space="preserve">Como resultado de comparar las compañías que tienen previsto ampliar sus equipos y las que anticipan una reducción </w:t>
      </w:r>
      <w:r w:rsidR="00A73C99" w:rsidRPr="00E1195B">
        <w:rPr>
          <w:rFonts w:ascii="Arial" w:hAnsi="Arial" w:cs="Arial"/>
          <w:b/>
          <w:bCs/>
          <w:color w:val="808080" w:themeColor="background1" w:themeShade="80"/>
          <w:sz w:val="20"/>
          <w:szCs w:val="20"/>
        </w:rPr>
        <w:t>se obtiene un índice cuyo resultado puede ir desde -100% a 100%</w:t>
      </w:r>
      <w:r w:rsidR="00A73C99" w:rsidRPr="00E1195B">
        <w:rPr>
          <w:rFonts w:ascii="Arial" w:hAnsi="Arial" w:cs="Arial"/>
          <w:color w:val="808080" w:themeColor="background1" w:themeShade="80"/>
          <w:sz w:val="20"/>
          <w:szCs w:val="20"/>
        </w:rPr>
        <w:t>.</w:t>
      </w:r>
    </w:p>
    <w:p w14:paraId="6E6E2DD4" w14:textId="6A537F17" w:rsidR="00910200" w:rsidRPr="00E1195B" w:rsidRDefault="00A73C99" w:rsidP="00195CAB">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t xml:space="preserve">El estudio se lleva a cabo desde hace más de 60 años con la misma pregunta y perfil de encuestados. </w:t>
      </w:r>
      <w:r w:rsidR="00493CFD" w:rsidRPr="00E1195B">
        <w:rPr>
          <w:rFonts w:ascii="Arial" w:hAnsi="Arial" w:cs="Arial"/>
          <w:color w:val="808080" w:themeColor="background1" w:themeShade="80"/>
          <w:sz w:val="20"/>
          <w:szCs w:val="20"/>
        </w:rPr>
        <w:t xml:space="preserve">Desde el primer trimestre </w:t>
      </w:r>
      <w:r w:rsidR="00910200" w:rsidRPr="00E1195B">
        <w:rPr>
          <w:rFonts w:ascii="Arial" w:hAnsi="Arial" w:cs="Arial"/>
          <w:color w:val="808080" w:themeColor="background1" w:themeShade="80"/>
          <w:sz w:val="20"/>
          <w:szCs w:val="20"/>
        </w:rPr>
        <w:t>de 2022, las respuestas se recopilan a través de un sistema online de doble confirmación en el que se incentiva a los participantes a completar la encuesta.</w:t>
      </w:r>
    </w:p>
    <w:bookmarkEnd w:id="8"/>
    <w:p w14:paraId="5F25FB14" w14:textId="4F1E1D4F" w:rsidR="00750181" w:rsidRDefault="00750181" w:rsidP="00DC55EB">
      <w:pPr>
        <w:jc w:val="both"/>
        <w:rPr>
          <w:rFonts w:ascii="Arial" w:hAnsi="Arial" w:cs="Arial"/>
          <w:b/>
          <w:bCs/>
          <w:sz w:val="16"/>
          <w:szCs w:val="16"/>
        </w:rPr>
      </w:pPr>
    </w:p>
    <w:p w14:paraId="515740E1" w14:textId="77777777" w:rsidR="00750181" w:rsidRDefault="00750181" w:rsidP="00DC55EB">
      <w:pPr>
        <w:jc w:val="both"/>
        <w:rPr>
          <w:rFonts w:ascii="Arial" w:hAnsi="Arial" w:cs="Arial"/>
          <w:b/>
          <w:bCs/>
          <w:sz w:val="16"/>
          <w:szCs w:val="16"/>
        </w:rPr>
      </w:pPr>
    </w:p>
    <w:p w14:paraId="5238AAE2" w14:textId="77777777" w:rsidR="00C11876" w:rsidRPr="00C11876" w:rsidRDefault="00C11876" w:rsidP="00C11876">
      <w:pPr>
        <w:tabs>
          <w:tab w:val="right" w:pos="8838"/>
        </w:tabs>
        <w:autoSpaceDE w:val="0"/>
        <w:autoSpaceDN w:val="0"/>
        <w:adjustRightInd w:val="0"/>
        <w:jc w:val="both"/>
        <w:rPr>
          <w:rFonts w:ascii="Arial" w:hAnsi="Arial" w:cs="Arial"/>
          <w:b/>
          <w:bCs/>
          <w:sz w:val="16"/>
          <w:szCs w:val="16"/>
        </w:rPr>
      </w:pPr>
      <w:r w:rsidRPr="00C11876">
        <w:rPr>
          <w:rFonts w:ascii="Arial" w:hAnsi="Arial" w:cs="Arial"/>
          <w:b/>
          <w:bCs/>
          <w:sz w:val="16"/>
          <w:szCs w:val="16"/>
        </w:rPr>
        <w:t>ManpowerGroup</w:t>
      </w:r>
    </w:p>
    <w:p w14:paraId="63008374" w14:textId="77777777" w:rsidR="00C11876" w:rsidRPr="00C11876" w:rsidRDefault="00C11876" w:rsidP="00C11876">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25BFF3CD" w14:textId="77777777" w:rsidR="00C11876" w:rsidRPr="00C11876" w:rsidRDefault="00C11876" w:rsidP="00C11876">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 xml:space="preserve">Más información en </w:t>
      </w:r>
      <w:hyperlink r:id="rId9" w:history="1">
        <w:r w:rsidRPr="00C11876">
          <w:rPr>
            <w:rStyle w:val="Hipervnculo"/>
            <w:rFonts w:ascii="Arial" w:hAnsi="Arial" w:cs="Arial"/>
            <w:sz w:val="16"/>
            <w:szCs w:val="16"/>
          </w:rPr>
          <w:t>www.manpowergroup.es</w:t>
        </w:r>
      </w:hyperlink>
      <w:r w:rsidRPr="00C11876">
        <w:rPr>
          <w:rFonts w:ascii="Arial" w:hAnsi="Arial" w:cs="Arial"/>
          <w:sz w:val="16"/>
          <w:szCs w:val="16"/>
        </w:rPr>
        <w:t>.</w:t>
      </w:r>
    </w:p>
    <w:p w14:paraId="4A498259" w14:textId="1B60E822" w:rsidR="00493CFD" w:rsidRDefault="00493CFD" w:rsidP="00DC55EB">
      <w:pPr>
        <w:tabs>
          <w:tab w:val="right" w:pos="8838"/>
        </w:tabs>
        <w:autoSpaceDE w:val="0"/>
        <w:autoSpaceDN w:val="0"/>
        <w:adjustRightInd w:val="0"/>
        <w:jc w:val="both"/>
        <w:rPr>
          <w:rFonts w:ascii="Arial" w:hAnsi="Arial" w:cs="Arial"/>
          <w:sz w:val="16"/>
          <w:szCs w:val="16"/>
        </w:rPr>
      </w:pPr>
    </w:p>
    <w:p w14:paraId="6FB62582" w14:textId="39C9DF2B" w:rsidR="00750181" w:rsidRDefault="00750181" w:rsidP="00DC55EB">
      <w:pPr>
        <w:tabs>
          <w:tab w:val="right" w:pos="8838"/>
        </w:tabs>
        <w:autoSpaceDE w:val="0"/>
        <w:autoSpaceDN w:val="0"/>
        <w:adjustRightInd w:val="0"/>
        <w:jc w:val="both"/>
        <w:rPr>
          <w:rFonts w:ascii="Arial" w:hAnsi="Arial" w:cs="Arial"/>
          <w:sz w:val="16"/>
          <w:szCs w:val="16"/>
        </w:rPr>
      </w:pPr>
    </w:p>
    <w:p w14:paraId="108340AD" w14:textId="77777777" w:rsidR="00750181" w:rsidRDefault="00750181" w:rsidP="00DC55EB">
      <w:pPr>
        <w:tabs>
          <w:tab w:val="right" w:pos="8838"/>
        </w:tabs>
        <w:autoSpaceDE w:val="0"/>
        <w:autoSpaceDN w:val="0"/>
        <w:adjustRightInd w:val="0"/>
        <w:jc w:val="both"/>
        <w:rPr>
          <w:rFonts w:ascii="Arial" w:hAnsi="Arial" w:cs="Arial"/>
          <w:sz w:val="16"/>
          <w:szCs w:val="16"/>
        </w:rPr>
      </w:pPr>
    </w:p>
    <w:bookmarkEnd w:id="9"/>
    <w:bookmarkEnd w:id="10"/>
    <w:bookmarkEnd w:id="11"/>
    <w:p w14:paraId="26B230C1" w14:textId="77777777" w:rsidR="00761D60" w:rsidRPr="00761D60" w:rsidRDefault="00761D60" w:rsidP="00761D60">
      <w:pPr>
        <w:tabs>
          <w:tab w:val="right" w:pos="8838"/>
        </w:tabs>
        <w:autoSpaceDE w:val="0"/>
        <w:autoSpaceDN w:val="0"/>
        <w:adjustRightInd w:val="0"/>
        <w:jc w:val="both"/>
        <w:rPr>
          <w:rFonts w:ascii="Arial" w:hAnsi="Arial" w:cs="Arial"/>
          <w:b/>
          <w:bCs/>
          <w:sz w:val="16"/>
          <w:szCs w:val="16"/>
        </w:rPr>
      </w:pPr>
      <w:r w:rsidRPr="00761D60">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3686"/>
        <w:gridCol w:w="2234"/>
        <w:gridCol w:w="3028"/>
      </w:tblGrid>
      <w:tr w:rsidR="00761D60" w:rsidRPr="008861A5" w14:paraId="6DE41C35" w14:textId="77777777" w:rsidTr="00030508">
        <w:trPr>
          <w:trHeight w:val="1159"/>
        </w:trPr>
        <w:tc>
          <w:tcPr>
            <w:tcW w:w="3686" w:type="dxa"/>
            <w:hideMark/>
          </w:tcPr>
          <w:p w14:paraId="1D05332F" w14:textId="719F0AB6" w:rsidR="00761D60" w:rsidRPr="00761D60" w:rsidRDefault="00761D60" w:rsidP="00721B40">
            <w:pPr>
              <w:pStyle w:val="NormalWeb"/>
              <w:spacing w:before="0" w:beforeAutospacing="0" w:after="0" w:afterAutospacing="0"/>
              <w:jc w:val="both"/>
              <w:rPr>
                <w:rStyle w:val="Hipervnculo"/>
                <w:rFonts w:ascii="Arial" w:eastAsia="MS Mincho" w:hAnsi="Arial" w:cs="Arial"/>
                <w:sz w:val="16"/>
                <w:szCs w:val="16"/>
              </w:rPr>
            </w:pPr>
            <w:bookmarkStart w:id="12" w:name="_Hlk90207537"/>
            <w:r w:rsidRPr="00761D60">
              <w:rPr>
                <w:rFonts w:ascii="Arial" w:hAnsi="Arial" w:cs="Arial"/>
                <w:color w:val="000000"/>
                <w:sz w:val="16"/>
                <w:szCs w:val="16"/>
                <w:u w:val="single"/>
              </w:rPr>
              <w:t xml:space="preserve">Agencia de comunicación </w:t>
            </w:r>
            <w:r w:rsidR="00030508">
              <w:rPr>
                <w:rFonts w:ascii="Arial" w:hAnsi="Arial" w:cs="Arial"/>
                <w:color w:val="000000"/>
                <w:sz w:val="16"/>
                <w:szCs w:val="16"/>
                <w:u w:val="single"/>
              </w:rPr>
              <w:t>Havas PR</w:t>
            </w:r>
          </w:p>
          <w:p w14:paraId="0C9FBF80" w14:textId="573D0904" w:rsidR="00761D60" w:rsidRPr="00030508" w:rsidRDefault="00533EC8" w:rsidP="00721B40">
            <w:pPr>
              <w:pStyle w:val="NormalWeb"/>
              <w:spacing w:before="0" w:beforeAutospacing="0" w:after="0" w:afterAutospacing="0"/>
              <w:rPr>
                <w:rFonts w:ascii="Arial" w:hAnsi="Arial" w:cs="Arial"/>
                <w:color w:val="000000"/>
                <w:sz w:val="16"/>
                <w:szCs w:val="16"/>
              </w:rPr>
            </w:pPr>
            <w:hyperlink r:id="rId10" w:history="1">
              <w:r w:rsidRPr="002B5AAD">
                <w:rPr>
                  <w:rStyle w:val="Hipervnculo"/>
                  <w:rFonts w:ascii="Arial" w:hAnsi="Arial" w:cs="Arial"/>
                  <w:b/>
                  <w:bCs/>
                  <w:sz w:val="16"/>
                  <w:szCs w:val="16"/>
                </w:rPr>
                <w:t>comunicacion.manpowergroup@havas.com</w:t>
              </w:r>
            </w:hyperlink>
            <w:r w:rsidR="00030508" w:rsidRPr="00030508">
              <w:rPr>
                <w:rFonts w:ascii="Arial" w:hAnsi="Arial" w:cs="Arial"/>
                <w:b/>
                <w:bCs/>
                <w:color w:val="000000"/>
                <w:sz w:val="16"/>
                <w:szCs w:val="16"/>
              </w:rPr>
              <w:t xml:space="preserve"> </w:t>
            </w:r>
          </w:p>
          <w:p w14:paraId="0BBFE845" w14:textId="7D6AE060" w:rsidR="00761D60" w:rsidRPr="00761D60" w:rsidRDefault="00761D60" w:rsidP="00721B40">
            <w:pPr>
              <w:jc w:val="both"/>
              <w:outlineLvl w:val="0"/>
              <w:rPr>
                <w:rFonts w:ascii="Arial" w:hAnsi="Arial" w:cs="Arial"/>
                <w:b/>
                <w:sz w:val="16"/>
                <w:szCs w:val="16"/>
                <w:lang w:val="ca-ES"/>
              </w:rPr>
            </w:pPr>
          </w:p>
        </w:tc>
        <w:tc>
          <w:tcPr>
            <w:tcW w:w="2234" w:type="dxa"/>
          </w:tcPr>
          <w:p w14:paraId="5C3E5C6E" w14:textId="77777777" w:rsidR="00761D60" w:rsidRPr="00761D60" w:rsidRDefault="00761D60" w:rsidP="00721B40">
            <w:pPr>
              <w:jc w:val="both"/>
              <w:rPr>
                <w:rFonts w:ascii="Arial" w:hAnsi="Arial" w:cs="Arial"/>
                <w:sz w:val="16"/>
                <w:szCs w:val="16"/>
                <w:lang w:val="ca-ES"/>
              </w:rPr>
            </w:pPr>
          </w:p>
        </w:tc>
        <w:tc>
          <w:tcPr>
            <w:tcW w:w="3028" w:type="dxa"/>
          </w:tcPr>
          <w:p w14:paraId="5F6CDF18" w14:textId="77777777" w:rsidR="00761D60" w:rsidRPr="00761D60" w:rsidRDefault="00761D60" w:rsidP="00721B40">
            <w:pPr>
              <w:jc w:val="both"/>
              <w:outlineLvl w:val="0"/>
              <w:rPr>
                <w:rFonts w:ascii="Arial" w:hAnsi="Arial" w:cs="Arial"/>
                <w:b/>
                <w:sz w:val="16"/>
                <w:szCs w:val="16"/>
              </w:rPr>
            </w:pPr>
            <w:r w:rsidRPr="00761D60">
              <w:rPr>
                <w:rFonts w:ascii="Arial" w:hAnsi="Arial" w:cs="Arial"/>
                <w:b/>
                <w:sz w:val="16"/>
                <w:szCs w:val="16"/>
              </w:rPr>
              <w:t>ManpowerGroup</w:t>
            </w:r>
          </w:p>
          <w:p w14:paraId="6EB79493" w14:textId="77777777" w:rsidR="00761D60" w:rsidRPr="00761D60" w:rsidRDefault="00761D60" w:rsidP="00721B40">
            <w:pPr>
              <w:jc w:val="both"/>
              <w:outlineLvl w:val="0"/>
              <w:rPr>
                <w:rFonts w:ascii="Arial" w:hAnsi="Arial" w:cs="Arial"/>
                <w:sz w:val="16"/>
                <w:szCs w:val="16"/>
              </w:rPr>
            </w:pPr>
            <w:r w:rsidRPr="00761D60">
              <w:rPr>
                <w:rFonts w:ascii="Arial" w:hAnsi="Arial" w:cs="Arial"/>
                <w:sz w:val="16"/>
                <w:szCs w:val="16"/>
              </w:rPr>
              <w:t>Dpto. Comunicación</w:t>
            </w:r>
          </w:p>
          <w:p w14:paraId="68A38F2C" w14:textId="77777777" w:rsidR="000D00D5" w:rsidRPr="000D00D5" w:rsidRDefault="000D00D5" w:rsidP="000D00D5">
            <w:pPr>
              <w:jc w:val="both"/>
              <w:rPr>
                <w:rFonts w:ascii="Arial" w:hAnsi="Arial" w:cs="Arial"/>
                <w:sz w:val="16"/>
                <w:szCs w:val="16"/>
              </w:rPr>
            </w:pPr>
            <w:r w:rsidRPr="000D00D5">
              <w:rPr>
                <w:rFonts w:ascii="Arial" w:hAnsi="Arial" w:cs="Arial"/>
                <w:sz w:val="16"/>
                <w:szCs w:val="16"/>
              </w:rPr>
              <w:t xml:space="preserve">Gala Díaz Curiel </w:t>
            </w:r>
          </w:p>
          <w:p w14:paraId="65B87DC6" w14:textId="77777777" w:rsidR="000D00D5" w:rsidRPr="000D00D5" w:rsidRDefault="000D00D5" w:rsidP="000D00D5">
            <w:pPr>
              <w:jc w:val="both"/>
              <w:rPr>
                <w:rFonts w:ascii="Arial" w:hAnsi="Arial" w:cs="Arial"/>
                <w:sz w:val="16"/>
                <w:szCs w:val="16"/>
              </w:rPr>
            </w:pPr>
            <w:r w:rsidRPr="000D00D5">
              <w:rPr>
                <w:rFonts w:ascii="Arial" w:hAnsi="Arial" w:cs="Arial"/>
                <w:sz w:val="16"/>
                <w:szCs w:val="16"/>
              </w:rPr>
              <w:t>607 35 33 49</w:t>
            </w:r>
          </w:p>
          <w:p w14:paraId="71BE04B8" w14:textId="77777777" w:rsidR="000D00D5" w:rsidRPr="000D00D5" w:rsidRDefault="000D00D5" w:rsidP="000D00D5">
            <w:pPr>
              <w:jc w:val="both"/>
              <w:rPr>
                <w:rFonts w:ascii="Arial" w:hAnsi="Arial" w:cs="Arial"/>
                <w:sz w:val="16"/>
                <w:szCs w:val="16"/>
                <w:u w:val="single"/>
              </w:rPr>
            </w:pPr>
            <w:hyperlink r:id="rId11" w:history="1">
              <w:r w:rsidRPr="000D00D5">
                <w:rPr>
                  <w:rStyle w:val="Hipervnculo"/>
                  <w:rFonts w:ascii="Arial" w:hAnsi="Arial" w:cs="Arial"/>
                  <w:sz w:val="16"/>
                  <w:szCs w:val="16"/>
                </w:rPr>
                <w:t>gala.diaz@manpowergroup.es</w:t>
              </w:r>
            </w:hyperlink>
          </w:p>
          <w:p w14:paraId="2BFA7ACC" w14:textId="77777777" w:rsidR="000D00D5" w:rsidRDefault="000D00D5" w:rsidP="00721B40">
            <w:pPr>
              <w:jc w:val="both"/>
              <w:rPr>
                <w:rFonts w:ascii="Arial" w:hAnsi="Arial" w:cs="Arial"/>
                <w:sz w:val="16"/>
                <w:szCs w:val="16"/>
              </w:rPr>
            </w:pPr>
          </w:p>
          <w:p w14:paraId="13CBCB15" w14:textId="04362372" w:rsidR="00761D60" w:rsidRPr="00761D60" w:rsidRDefault="00761D60" w:rsidP="00721B40">
            <w:pPr>
              <w:jc w:val="both"/>
              <w:rPr>
                <w:rFonts w:ascii="Arial" w:hAnsi="Arial" w:cs="Arial"/>
                <w:sz w:val="16"/>
                <w:szCs w:val="16"/>
              </w:rPr>
            </w:pPr>
            <w:r w:rsidRPr="00761D60">
              <w:rPr>
                <w:rFonts w:ascii="Arial" w:hAnsi="Arial" w:cs="Arial"/>
                <w:sz w:val="16"/>
                <w:szCs w:val="16"/>
              </w:rPr>
              <w:t>Juan Gómez Rodríguez</w:t>
            </w:r>
          </w:p>
          <w:p w14:paraId="0C3AABE4" w14:textId="77777777" w:rsidR="00761D60" w:rsidRPr="00F51FFC" w:rsidRDefault="00761D60" w:rsidP="00721B40">
            <w:pPr>
              <w:jc w:val="both"/>
              <w:rPr>
                <w:rFonts w:ascii="Arial" w:hAnsi="Arial" w:cs="Arial"/>
                <w:sz w:val="16"/>
                <w:szCs w:val="16"/>
                <w:lang w:val="de-DE"/>
              </w:rPr>
            </w:pPr>
            <w:r w:rsidRPr="00F51FFC">
              <w:rPr>
                <w:rFonts w:ascii="Arial" w:hAnsi="Arial" w:cs="Arial"/>
                <w:sz w:val="16"/>
                <w:szCs w:val="16"/>
                <w:lang w:val="de-DE"/>
              </w:rPr>
              <w:t>Tel. 687 51 96 90</w:t>
            </w:r>
          </w:p>
          <w:p w14:paraId="41E0F357" w14:textId="77777777" w:rsidR="00761D60" w:rsidRPr="00F51FFC" w:rsidRDefault="00761D60" w:rsidP="00721B40">
            <w:pPr>
              <w:jc w:val="both"/>
              <w:rPr>
                <w:rFonts w:ascii="Arial" w:hAnsi="Arial" w:cs="Arial"/>
                <w:sz w:val="16"/>
                <w:szCs w:val="16"/>
                <w:lang w:val="de-DE"/>
              </w:rPr>
            </w:pPr>
            <w:hyperlink r:id="rId12" w:history="1">
              <w:r w:rsidRPr="00F51FFC">
                <w:rPr>
                  <w:rStyle w:val="Hipervnculo"/>
                  <w:rFonts w:ascii="Arial" w:hAnsi="Arial" w:cs="Arial"/>
                  <w:sz w:val="16"/>
                  <w:szCs w:val="16"/>
                  <w:lang w:val="de-DE"/>
                </w:rPr>
                <w:t>juan.gomez@manpowergroup.es</w:t>
              </w:r>
            </w:hyperlink>
          </w:p>
        </w:tc>
      </w:tr>
      <w:bookmarkEnd w:id="12"/>
    </w:tbl>
    <w:p w14:paraId="0F55B214" w14:textId="77777777" w:rsidR="008E54AD" w:rsidRPr="00F51FFC" w:rsidRDefault="008E54AD" w:rsidP="00090345">
      <w:pPr>
        <w:tabs>
          <w:tab w:val="right" w:pos="8838"/>
        </w:tabs>
        <w:autoSpaceDE w:val="0"/>
        <w:autoSpaceDN w:val="0"/>
        <w:adjustRightInd w:val="0"/>
        <w:jc w:val="both"/>
        <w:rPr>
          <w:rFonts w:ascii="Arial" w:hAnsi="Arial" w:cs="Arial"/>
          <w:b/>
          <w:bCs/>
          <w:sz w:val="16"/>
          <w:szCs w:val="16"/>
          <w:lang w:val="de-DE"/>
        </w:rPr>
      </w:pPr>
    </w:p>
    <w:sectPr w:rsidR="008E54AD" w:rsidRPr="00F51FFC" w:rsidSect="00A966D6">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EA4FE" w14:textId="77777777" w:rsidR="00EE4604" w:rsidRDefault="00EE4604">
      <w:r>
        <w:separator/>
      </w:r>
    </w:p>
  </w:endnote>
  <w:endnote w:type="continuationSeparator" w:id="0">
    <w:p w14:paraId="45D0A168" w14:textId="77777777" w:rsidR="00EE4604" w:rsidRDefault="00EE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5" name="Imagen 5"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3959A" w14:textId="77777777" w:rsidR="00EE4604" w:rsidRDefault="00EE4604">
      <w:r>
        <w:separator/>
      </w:r>
    </w:p>
  </w:footnote>
  <w:footnote w:type="continuationSeparator" w:id="0">
    <w:p w14:paraId="5BBB3657" w14:textId="77777777" w:rsidR="00EE4604" w:rsidRDefault="00EE4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2965" w14:textId="1EC216EA" w:rsidR="00FB1381"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3" name="Imagen 3"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139DA"/>
    <w:multiLevelType w:val="multilevel"/>
    <w:tmpl w:val="1B66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4"/>
  </w:num>
  <w:num w:numId="3" w16cid:durableId="305208792">
    <w:abstractNumId w:val="3"/>
  </w:num>
  <w:num w:numId="4" w16cid:durableId="126244196">
    <w:abstractNumId w:val="2"/>
  </w:num>
  <w:num w:numId="5" w16cid:durableId="1245341768">
    <w:abstractNumId w:val="6"/>
  </w:num>
  <w:num w:numId="6" w16cid:durableId="597829097">
    <w:abstractNumId w:val="5"/>
  </w:num>
  <w:num w:numId="7" w16cid:durableId="2127692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2ED"/>
    <w:rsid w:val="0001254E"/>
    <w:rsid w:val="000166E0"/>
    <w:rsid w:val="00017815"/>
    <w:rsid w:val="000258CF"/>
    <w:rsid w:val="00027080"/>
    <w:rsid w:val="00030253"/>
    <w:rsid w:val="00030508"/>
    <w:rsid w:val="000310B8"/>
    <w:rsid w:val="0003516C"/>
    <w:rsid w:val="0004003B"/>
    <w:rsid w:val="00042488"/>
    <w:rsid w:val="00043926"/>
    <w:rsid w:val="00047806"/>
    <w:rsid w:val="000507C4"/>
    <w:rsid w:val="00063579"/>
    <w:rsid w:val="00066C14"/>
    <w:rsid w:val="000752A6"/>
    <w:rsid w:val="0008054F"/>
    <w:rsid w:val="000869A2"/>
    <w:rsid w:val="00090345"/>
    <w:rsid w:val="000915ED"/>
    <w:rsid w:val="00092740"/>
    <w:rsid w:val="000A1973"/>
    <w:rsid w:val="000A1EBF"/>
    <w:rsid w:val="000A1F63"/>
    <w:rsid w:val="000A3669"/>
    <w:rsid w:val="000A5406"/>
    <w:rsid w:val="000A7606"/>
    <w:rsid w:val="000A7DFE"/>
    <w:rsid w:val="000C12D2"/>
    <w:rsid w:val="000C1F4F"/>
    <w:rsid w:val="000C41F9"/>
    <w:rsid w:val="000D00D5"/>
    <w:rsid w:val="000D2B5A"/>
    <w:rsid w:val="000D573A"/>
    <w:rsid w:val="000D6AB6"/>
    <w:rsid w:val="000E191A"/>
    <w:rsid w:val="000F11D7"/>
    <w:rsid w:val="000F269C"/>
    <w:rsid w:val="000F428E"/>
    <w:rsid w:val="000F4634"/>
    <w:rsid w:val="00103F84"/>
    <w:rsid w:val="0011607A"/>
    <w:rsid w:val="0012170F"/>
    <w:rsid w:val="00124DEA"/>
    <w:rsid w:val="001319E5"/>
    <w:rsid w:val="001324E2"/>
    <w:rsid w:val="00132EA5"/>
    <w:rsid w:val="00143F63"/>
    <w:rsid w:val="001442A6"/>
    <w:rsid w:val="001463C1"/>
    <w:rsid w:val="00147F82"/>
    <w:rsid w:val="00153505"/>
    <w:rsid w:val="00154F3A"/>
    <w:rsid w:val="00156E14"/>
    <w:rsid w:val="00166FA8"/>
    <w:rsid w:val="00171AAA"/>
    <w:rsid w:val="001740C7"/>
    <w:rsid w:val="00175E3F"/>
    <w:rsid w:val="00177CB8"/>
    <w:rsid w:val="00181155"/>
    <w:rsid w:val="00187625"/>
    <w:rsid w:val="00190E3D"/>
    <w:rsid w:val="00195CAB"/>
    <w:rsid w:val="001A2A76"/>
    <w:rsid w:val="001A332D"/>
    <w:rsid w:val="001A60DD"/>
    <w:rsid w:val="001A645B"/>
    <w:rsid w:val="001A645F"/>
    <w:rsid w:val="001B39AD"/>
    <w:rsid w:val="001C10B4"/>
    <w:rsid w:val="001C702D"/>
    <w:rsid w:val="001D5BD3"/>
    <w:rsid w:val="001E24E8"/>
    <w:rsid w:val="001E6322"/>
    <w:rsid w:val="001E7292"/>
    <w:rsid w:val="001F3A45"/>
    <w:rsid w:val="001F3E41"/>
    <w:rsid w:val="001F7ADD"/>
    <w:rsid w:val="00204B99"/>
    <w:rsid w:val="00204E64"/>
    <w:rsid w:val="002059D2"/>
    <w:rsid w:val="00205D68"/>
    <w:rsid w:val="0021069A"/>
    <w:rsid w:val="00212129"/>
    <w:rsid w:val="002246BA"/>
    <w:rsid w:val="00224DE1"/>
    <w:rsid w:val="00231877"/>
    <w:rsid w:val="002331A8"/>
    <w:rsid w:val="00235658"/>
    <w:rsid w:val="0024317A"/>
    <w:rsid w:val="00252A0D"/>
    <w:rsid w:val="00261409"/>
    <w:rsid w:val="00264632"/>
    <w:rsid w:val="0027680B"/>
    <w:rsid w:val="00281944"/>
    <w:rsid w:val="00294475"/>
    <w:rsid w:val="002A2DD5"/>
    <w:rsid w:val="002A3D92"/>
    <w:rsid w:val="002A78A1"/>
    <w:rsid w:val="002B3F52"/>
    <w:rsid w:val="002C01E7"/>
    <w:rsid w:val="002C02D9"/>
    <w:rsid w:val="002D032D"/>
    <w:rsid w:val="002E285C"/>
    <w:rsid w:val="002E2F04"/>
    <w:rsid w:val="002E4A5C"/>
    <w:rsid w:val="002E5E6F"/>
    <w:rsid w:val="002F2E0A"/>
    <w:rsid w:val="002F4816"/>
    <w:rsid w:val="003006FC"/>
    <w:rsid w:val="003019C9"/>
    <w:rsid w:val="003108C5"/>
    <w:rsid w:val="00310DC4"/>
    <w:rsid w:val="0031490C"/>
    <w:rsid w:val="00321F4F"/>
    <w:rsid w:val="0032424C"/>
    <w:rsid w:val="00326089"/>
    <w:rsid w:val="00326125"/>
    <w:rsid w:val="00331310"/>
    <w:rsid w:val="00332D02"/>
    <w:rsid w:val="00336187"/>
    <w:rsid w:val="00337FD2"/>
    <w:rsid w:val="00344595"/>
    <w:rsid w:val="00346E05"/>
    <w:rsid w:val="003470C8"/>
    <w:rsid w:val="003509A5"/>
    <w:rsid w:val="0036538C"/>
    <w:rsid w:val="00380B8C"/>
    <w:rsid w:val="003837E6"/>
    <w:rsid w:val="00383F58"/>
    <w:rsid w:val="00390D3C"/>
    <w:rsid w:val="003A214F"/>
    <w:rsid w:val="003A2B29"/>
    <w:rsid w:val="003A49AD"/>
    <w:rsid w:val="003A5A50"/>
    <w:rsid w:val="003A6138"/>
    <w:rsid w:val="003B07C9"/>
    <w:rsid w:val="003C2224"/>
    <w:rsid w:val="003C61D6"/>
    <w:rsid w:val="003C6EC8"/>
    <w:rsid w:val="003D0E85"/>
    <w:rsid w:val="003D4F9E"/>
    <w:rsid w:val="003D6B89"/>
    <w:rsid w:val="003E371D"/>
    <w:rsid w:val="003F1121"/>
    <w:rsid w:val="00401989"/>
    <w:rsid w:val="00407AD8"/>
    <w:rsid w:val="0041325B"/>
    <w:rsid w:val="00415A6A"/>
    <w:rsid w:val="00416931"/>
    <w:rsid w:val="0044035B"/>
    <w:rsid w:val="00441AA5"/>
    <w:rsid w:val="00443A21"/>
    <w:rsid w:val="00456993"/>
    <w:rsid w:val="004612C2"/>
    <w:rsid w:val="00475A4A"/>
    <w:rsid w:val="00485852"/>
    <w:rsid w:val="00485E70"/>
    <w:rsid w:val="00493CFD"/>
    <w:rsid w:val="004958BB"/>
    <w:rsid w:val="00497689"/>
    <w:rsid w:val="004B5032"/>
    <w:rsid w:val="004C0F40"/>
    <w:rsid w:val="004C607E"/>
    <w:rsid w:val="004C62C0"/>
    <w:rsid w:val="004C7FBD"/>
    <w:rsid w:val="004D1FAF"/>
    <w:rsid w:val="004D4711"/>
    <w:rsid w:val="004E23C4"/>
    <w:rsid w:val="004E2530"/>
    <w:rsid w:val="004F67EC"/>
    <w:rsid w:val="004F7AE3"/>
    <w:rsid w:val="00511519"/>
    <w:rsid w:val="00512001"/>
    <w:rsid w:val="005201CA"/>
    <w:rsid w:val="005229BB"/>
    <w:rsid w:val="00525188"/>
    <w:rsid w:val="00530474"/>
    <w:rsid w:val="00533536"/>
    <w:rsid w:val="00533EC8"/>
    <w:rsid w:val="00541A7B"/>
    <w:rsid w:val="00543126"/>
    <w:rsid w:val="005443A1"/>
    <w:rsid w:val="00546498"/>
    <w:rsid w:val="00547D42"/>
    <w:rsid w:val="00561B53"/>
    <w:rsid w:val="005630A5"/>
    <w:rsid w:val="00576DDF"/>
    <w:rsid w:val="00577B92"/>
    <w:rsid w:val="0058531F"/>
    <w:rsid w:val="00590192"/>
    <w:rsid w:val="0059060D"/>
    <w:rsid w:val="005A7DB1"/>
    <w:rsid w:val="005A7E9C"/>
    <w:rsid w:val="005B2218"/>
    <w:rsid w:val="005B5B40"/>
    <w:rsid w:val="005B7CDC"/>
    <w:rsid w:val="005C33ED"/>
    <w:rsid w:val="005C4439"/>
    <w:rsid w:val="005D1AE9"/>
    <w:rsid w:val="005D5DC2"/>
    <w:rsid w:val="005E0E99"/>
    <w:rsid w:val="005E1842"/>
    <w:rsid w:val="005E4173"/>
    <w:rsid w:val="005F1CEB"/>
    <w:rsid w:val="005F3998"/>
    <w:rsid w:val="00600F24"/>
    <w:rsid w:val="0060110C"/>
    <w:rsid w:val="00610958"/>
    <w:rsid w:val="00617DAE"/>
    <w:rsid w:val="006210BA"/>
    <w:rsid w:val="006213E2"/>
    <w:rsid w:val="00640A0A"/>
    <w:rsid w:val="006421FF"/>
    <w:rsid w:val="0064466A"/>
    <w:rsid w:val="006515B4"/>
    <w:rsid w:val="00652342"/>
    <w:rsid w:val="006570E0"/>
    <w:rsid w:val="006602D5"/>
    <w:rsid w:val="00663580"/>
    <w:rsid w:val="006809AA"/>
    <w:rsid w:val="00685895"/>
    <w:rsid w:val="00685FB7"/>
    <w:rsid w:val="0068687C"/>
    <w:rsid w:val="00687087"/>
    <w:rsid w:val="0069236B"/>
    <w:rsid w:val="00694B11"/>
    <w:rsid w:val="00697039"/>
    <w:rsid w:val="006972C0"/>
    <w:rsid w:val="006A1012"/>
    <w:rsid w:val="006B0AED"/>
    <w:rsid w:val="006B6CC7"/>
    <w:rsid w:val="006B7478"/>
    <w:rsid w:val="006C49DB"/>
    <w:rsid w:val="006C5FFF"/>
    <w:rsid w:val="006D54CF"/>
    <w:rsid w:val="006E3790"/>
    <w:rsid w:val="006E3A61"/>
    <w:rsid w:val="006E6724"/>
    <w:rsid w:val="006E6A20"/>
    <w:rsid w:val="0070035A"/>
    <w:rsid w:val="0070547F"/>
    <w:rsid w:val="00710280"/>
    <w:rsid w:val="00715BBB"/>
    <w:rsid w:val="00720F29"/>
    <w:rsid w:val="0072269E"/>
    <w:rsid w:val="00731C5F"/>
    <w:rsid w:val="00747CE2"/>
    <w:rsid w:val="00750181"/>
    <w:rsid w:val="00750C5B"/>
    <w:rsid w:val="007546E1"/>
    <w:rsid w:val="00761D60"/>
    <w:rsid w:val="00763C96"/>
    <w:rsid w:val="00765378"/>
    <w:rsid w:val="00773069"/>
    <w:rsid w:val="00773536"/>
    <w:rsid w:val="00781148"/>
    <w:rsid w:val="00787F0D"/>
    <w:rsid w:val="00797695"/>
    <w:rsid w:val="007A0082"/>
    <w:rsid w:val="007A0CED"/>
    <w:rsid w:val="007A1361"/>
    <w:rsid w:val="007A2C20"/>
    <w:rsid w:val="007A74B1"/>
    <w:rsid w:val="007B0AFA"/>
    <w:rsid w:val="007B59D1"/>
    <w:rsid w:val="007B679F"/>
    <w:rsid w:val="007C1C1A"/>
    <w:rsid w:val="007C286C"/>
    <w:rsid w:val="007C3B5E"/>
    <w:rsid w:val="007E3CDF"/>
    <w:rsid w:val="007E50C2"/>
    <w:rsid w:val="007E5ED7"/>
    <w:rsid w:val="00801C70"/>
    <w:rsid w:val="00807311"/>
    <w:rsid w:val="00810D81"/>
    <w:rsid w:val="0081336C"/>
    <w:rsid w:val="0081638E"/>
    <w:rsid w:val="00822154"/>
    <w:rsid w:val="0082306D"/>
    <w:rsid w:val="008236B4"/>
    <w:rsid w:val="00824B8D"/>
    <w:rsid w:val="00825CE9"/>
    <w:rsid w:val="00833581"/>
    <w:rsid w:val="00834898"/>
    <w:rsid w:val="00836F8E"/>
    <w:rsid w:val="00841381"/>
    <w:rsid w:val="00843A81"/>
    <w:rsid w:val="00853C2E"/>
    <w:rsid w:val="00853F4A"/>
    <w:rsid w:val="00854BFA"/>
    <w:rsid w:val="00857735"/>
    <w:rsid w:val="00857C81"/>
    <w:rsid w:val="00861B43"/>
    <w:rsid w:val="00861C2E"/>
    <w:rsid w:val="00867F26"/>
    <w:rsid w:val="008742C9"/>
    <w:rsid w:val="008756C2"/>
    <w:rsid w:val="008764B5"/>
    <w:rsid w:val="00882FCB"/>
    <w:rsid w:val="00885750"/>
    <w:rsid w:val="008861A5"/>
    <w:rsid w:val="0089190E"/>
    <w:rsid w:val="00894DEA"/>
    <w:rsid w:val="008A4224"/>
    <w:rsid w:val="008B0BEA"/>
    <w:rsid w:val="008B155B"/>
    <w:rsid w:val="008B71B4"/>
    <w:rsid w:val="008C0114"/>
    <w:rsid w:val="008C5AB0"/>
    <w:rsid w:val="008C7CF6"/>
    <w:rsid w:val="008C7DC2"/>
    <w:rsid w:val="008D27B6"/>
    <w:rsid w:val="008D2C81"/>
    <w:rsid w:val="008D39F2"/>
    <w:rsid w:val="008E048D"/>
    <w:rsid w:val="008E54AD"/>
    <w:rsid w:val="008E730B"/>
    <w:rsid w:val="008F077C"/>
    <w:rsid w:val="008F1B68"/>
    <w:rsid w:val="008F1BBD"/>
    <w:rsid w:val="00902BD1"/>
    <w:rsid w:val="00907542"/>
    <w:rsid w:val="00910200"/>
    <w:rsid w:val="009164C2"/>
    <w:rsid w:val="00925414"/>
    <w:rsid w:val="00926099"/>
    <w:rsid w:val="00926103"/>
    <w:rsid w:val="00927308"/>
    <w:rsid w:val="00932B40"/>
    <w:rsid w:val="00932CB7"/>
    <w:rsid w:val="00942998"/>
    <w:rsid w:val="009436E0"/>
    <w:rsid w:val="0094507D"/>
    <w:rsid w:val="00950D36"/>
    <w:rsid w:val="0095341D"/>
    <w:rsid w:val="00955E63"/>
    <w:rsid w:val="00956D9A"/>
    <w:rsid w:val="0096266D"/>
    <w:rsid w:val="00966C53"/>
    <w:rsid w:val="0097553E"/>
    <w:rsid w:val="00977BE7"/>
    <w:rsid w:val="00980677"/>
    <w:rsid w:val="00980C09"/>
    <w:rsid w:val="00981941"/>
    <w:rsid w:val="00983A48"/>
    <w:rsid w:val="009A0E87"/>
    <w:rsid w:val="009A1EB0"/>
    <w:rsid w:val="009A3526"/>
    <w:rsid w:val="009A4EA0"/>
    <w:rsid w:val="009A6F8A"/>
    <w:rsid w:val="009B5E31"/>
    <w:rsid w:val="009C2675"/>
    <w:rsid w:val="009C45C0"/>
    <w:rsid w:val="009C6314"/>
    <w:rsid w:val="009C7B80"/>
    <w:rsid w:val="009D3220"/>
    <w:rsid w:val="009D3CF7"/>
    <w:rsid w:val="009E06CC"/>
    <w:rsid w:val="009E4D15"/>
    <w:rsid w:val="009E6171"/>
    <w:rsid w:val="009F01EA"/>
    <w:rsid w:val="009F1332"/>
    <w:rsid w:val="009F315E"/>
    <w:rsid w:val="009F46C2"/>
    <w:rsid w:val="009F7DB9"/>
    <w:rsid w:val="009F7E1C"/>
    <w:rsid w:val="00A05766"/>
    <w:rsid w:val="00A1647D"/>
    <w:rsid w:val="00A20F38"/>
    <w:rsid w:val="00A25658"/>
    <w:rsid w:val="00A373DD"/>
    <w:rsid w:val="00A41710"/>
    <w:rsid w:val="00A41AA5"/>
    <w:rsid w:val="00A50B4D"/>
    <w:rsid w:val="00A52AAA"/>
    <w:rsid w:val="00A52E71"/>
    <w:rsid w:val="00A54B87"/>
    <w:rsid w:val="00A56426"/>
    <w:rsid w:val="00A574BF"/>
    <w:rsid w:val="00A640F6"/>
    <w:rsid w:val="00A645A2"/>
    <w:rsid w:val="00A7208B"/>
    <w:rsid w:val="00A73C99"/>
    <w:rsid w:val="00A9636B"/>
    <w:rsid w:val="00A966D6"/>
    <w:rsid w:val="00AA5C1C"/>
    <w:rsid w:val="00AB110E"/>
    <w:rsid w:val="00AB24A2"/>
    <w:rsid w:val="00AB278E"/>
    <w:rsid w:val="00AB6539"/>
    <w:rsid w:val="00AE3488"/>
    <w:rsid w:val="00AF11D7"/>
    <w:rsid w:val="00AF223E"/>
    <w:rsid w:val="00AF2733"/>
    <w:rsid w:val="00B03429"/>
    <w:rsid w:val="00B05CD9"/>
    <w:rsid w:val="00B05D48"/>
    <w:rsid w:val="00B116AF"/>
    <w:rsid w:val="00B2389C"/>
    <w:rsid w:val="00B25727"/>
    <w:rsid w:val="00B27FC4"/>
    <w:rsid w:val="00B30B05"/>
    <w:rsid w:val="00B34B96"/>
    <w:rsid w:val="00B43DBC"/>
    <w:rsid w:val="00B5158D"/>
    <w:rsid w:val="00B628EE"/>
    <w:rsid w:val="00B75AC2"/>
    <w:rsid w:val="00B8069B"/>
    <w:rsid w:val="00B87468"/>
    <w:rsid w:val="00B950D2"/>
    <w:rsid w:val="00B963D0"/>
    <w:rsid w:val="00BA01EB"/>
    <w:rsid w:val="00BA4D8D"/>
    <w:rsid w:val="00BB1160"/>
    <w:rsid w:val="00BB39D9"/>
    <w:rsid w:val="00BB6209"/>
    <w:rsid w:val="00BC2B93"/>
    <w:rsid w:val="00BC45B7"/>
    <w:rsid w:val="00BC46BE"/>
    <w:rsid w:val="00BD4507"/>
    <w:rsid w:val="00BE22AA"/>
    <w:rsid w:val="00BE6720"/>
    <w:rsid w:val="00BF0CA1"/>
    <w:rsid w:val="00BF2547"/>
    <w:rsid w:val="00BF5E11"/>
    <w:rsid w:val="00BF7FDF"/>
    <w:rsid w:val="00C01CA2"/>
    <w:rsid w:val="00C06B0E"/>
    <w:rsid w:val="00C11876"/>
    <w:rsid w:val="00C145C5"/>
    <w:rsid w:val="00C25857"/>
    <w:rsid w:val="00C4474E"/>
    <w:rsid w:val="00C50A8F"/>
    <w:rsid w:val="00C536C9"/>
    <w:rsid w:val="00C54617"/>
    <w:rsid w:val="00C605EA"/>
    <w:rsid w:val="00C60787"/>
    <w:rsid w:val="00C61314"/>
    <w:rsid w:val="00C7314E"/>
    <w:rsid w:val="00C76422"/>
    <w:rsid w:val="00C83097"/>
    <w:rsid w:val="00C91CCE"/>
    <w:rsid w:val="00C9394A"/>
    <w:rsid w:val="00C943A5"/>
    <w:rsid w:val="00C952AF"/>
    <w:rsid w:val="00CA0905"/>
    <w:rsid w:val="00CB1A27"/>
    <w:rsid w:val="00CC0837"/>
    <w:rsid w:val="00CC188B"/>
    <w:rsid w:val="00CC20DB"/>
    <w:rsid w:val="00CC5DF6"/>
    <w:rsid w:val="00CC69CF"/>
    <w:rsid w:val="00CF74FF"/>
    <w:rsid w:val="00D02D48"/>
    <w:rsid w:val="00D04D6F"/>
    <w:rsid w:val="00D076F3"/>
    <w:rsid w:val="00D12D3F"/>
    <w:rsid w:val="00D14253"/>
    <w:rsid w:val="00D158E9"/>
    <w:rsid w:val="00D21BC9"/>
    <w:rsid w:val="00D24F22"/>
    <w:rsid w:val="00D260E9"/>
    <w:rsid w:val="00D27B5C"/>
    <w:rsid w:val="00D32B3E"/>
    <w:rsid w:val="00D3343D"/>
    <w:rsid w:val="00D3571D"/>
    <w:rsid w:val="00D36245"/>
    <w:rsid w:val="00D44426"/>
    <w:rsid w:val="00D44823"/>
    <w:rsid w:val="00D4601D"/>
    <w:rsid w:val="00D63AB2"/>
    <w:rsid w:val="00D64482"/>
    <w:rsid w:val="00D64574"/>
    <w:rsid w:val="00D76407"/>
    <w:rsid w:val="00D7641E"/>
    <w:rsid w:val="00D8655C"/>
    <w:rsid w:val="00D90EF8"/>
    <w:rsid w:val="00D91F81"/>
    <w:rsid w:val="00D92B75"/>
    <w:rsid w:val="00D96635"/>
    <w:rsid w:val="00D970E4"/>
    <w:rsid w:val="00DA2D0A"/>
    <w:rsid w:val="00DA3E4E"/>
    <w:rsid w:val="00DA4356"/>
    <w:rsid w:val="00DA4719"/>
    <w:rsid w:val="00DA6D43"/>
    <w:rsid w:val="00DB0F1B"/>
    <w:rsid w:val="00DB1EAA"/>
    <w:rsid w:val="00DB45BA"/>
    <w:rsid w:val="00DB5EEF"/>
    <w:rsid w:val="00DC304A"/>
    <w:rsid w:val="00DC55EB"/>
    <w:rsid w:val="00DC6709"/>
    <w:rsid w:val="00DD4924"/>
    <w:rsid w:val="00DD5829"/>
    <w:rsid w:val="00DE1F66"/>
    <w:rsid w:val="00DF0F97"/>
    <w:rsid w:val="00DF1DDF"/>
    <w:rsid w:val="00DF2519"/>
    <w:rsid w:val="00DF3C14"/>
    <w:rsid w:val="00E0449F"/>
    <w:rsid w:val="00E10601"/>
    <w:rsid w:val="00E10F98"/>
    <w:rsid w:val="00E1195B"/>
    <w:rsid w:val="00E13675"/>
    <w:rsid w:val="00E13BED"/>
    <w:rsid w:val="00E14B59"/>
    <w:rsid w:val="00E151DB"/>
    <w:rsid w:val="00E32CA6"/>
    <w:rsid w:val="00E375F1"/>
    <w:rsid w:val="00E376BD"/>
    <w:rsid w:val="00E45460"/>
    <w:rsid w:val="00E56D8C"/>
    <w:rsid w:val="00E6057E"/>
    <w:rsid w:val="00E640EF"/>
    <w:rsid w:val="00E675C5"/>
    <w:rsid w:val="00E71ADB"/>
    <w:rsid w:val="00E76FE8"/>
    <w:rsid w:val="00E845CF"/>
    <w:rsid w:val="00E909F9"/>
    <w:rsid w:val="00E91772"/>
    <w:rsid w:val="00E93F97"/>
    <w:rsid w:val="00E9600E"/>
    <w:rsid w:val="00EA39E2"/>
    <w:rsid w:val="00EA5DFA"/>
    <w:rsid w:val="00EA7C7E"/>
    <w:rsid w:val="00EB11D6"/>
    <w:rsid w:val="00EB6111"/>
    <w:rsid w:val="00EC7CF2"/>
    <w:rsid w:val="00ED086E"/>
    <w:rsid w:val="00ED4D55"/>
    <w:rsid w:val="00ED788C"/>
    <w:rsid w:val="00EE4391"/>
    <w:rsid w:val="00EE4604"/>
    <w:rsid w:val="00EF254D"/>
    <w:rsid w:val="00EF4233"/>
    <w:rsid w:val="00EF7ED2"/>
    <w:rsid w:val="00F00E57"/>
    <w:rsid w:val="00F03D39"/>
    <w:rsid w:val="00F06E89"/>
    <w:rsid w:val="00F0730E"/>
    <w:rsid w:val="00F15113"/>
    <w:rsid w:val="00F17A4D"/>
    <w:rsid w:val="00F24D52"/>
    <w:rsid w:val="00F34988"/>
    <w:rsid w:val="00F3663C"/>
    <w:rsid w:val="00F403AB"/>
    <w:rsid w:val="00F42A65"/>
    <w:rsid w:val="00F45079"/>
    <w:rsid w:val="00F45C5A"/>
    <w:rsid w:val="00F46A83"/>
    <w:rsid w:val="00F51FFC"/>
    <w:rsid w:val="00F5395E"/>
    <w:rsid w:val="00F66A0E"/>
    <w:rsid w:val="00F72967"/>
    <w:rsid w:val="00F73A73"/>
    <w:rsid w:val="00F93269"/>
    <w:rsid w:val="00F93A2E"/>
    <w:rsid w:val="00F95E09"/>
    <w:rsid w:val="00FA30DA"/>
    <w:rsid w:val="00FA40B3"/>
    <w:rsid w:val="00FA51B0"/>
    <w:rsid w:val="00FA56FE"/>
    <w:rsid w:val="00FB1381"/>
    <w:rsid w:val="00FB561C"/>
    <w:rsid w:val="00FB6874"/>
    <w:rsid w:val="00FC3937"/>
    <w:rsid w:val="00FC7D4B"/>
    <w:rsid w:val="00FE3A32"/>
    <w:rsid w:val="00FE42DA"/>
    <w:rsid w:val="00FE5A82"/>
    <w:rsid w:val="00FE6AB0"/>
    <w:rsid w:val="00FF4E94"/>
    <w:rsid w:val="00FF597D"/>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BA4D8D"/>
    <w:rPr>
      <w:b/>
      <w:bCs/>
      <w:lang w:eastAsia="es-ES"/>
    </w:rPr>
  </w:style>
  <w:style w:type="character" w:customStyle="1" w:styleId="AsuntodelcomentarioCar">
    <w:name w:val="Asunto del comentario Car"/>
    <w:basedOn w:val="TextocomentarioCar"/>
    <w:link w:val="Asuntodelcomentario"/>
    <w:uiPriority w:val="99"/>
    <w:semiHidden/>
    <w:rsid w:val="00BA4D8D"/>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15472">
      <w:bodyDiv w:val="1"/>
      <w:marLeft w:val="0"/>
      <w:marRight w:val="0"/>
      <w:marTop w:val="0"/>
      <w:marBottom w:val="0"/>
      <w:divBdr>
        <w:top w:val="none" w:sz="0" w:space="0" w:color="auto"/>
        <w:left w:val="none" w:sz="0" w:space="0" w:color="auto"/>
        <w:bottom w:val="none" w:sz="0" w:space="0" w:color="auto"/>
        <w:right w:val="none" w:sz="0" w:space="0" w:color="auto"/>
      </w:divBdr>
    </w:div>
    <w:div w:id="94403549">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206647555">
      <w:bodyDiv w:val="1"/>
      <w:marLeft w:val="0"/>
      <w:marRight w:val="0"/>
      <w:marTop w:val="0"/>
      <w:marBottom w:val="0"/>
      <w:divBdr>
        <w:top w:val="none" w:sz="0" w:space="0" w:color="auto"/>
        <w:left w:val="none" w:sz="0" w:space="0" w:color="auto"/>
        <w:bottom w:val="none" w:sz="0" w:space="0" w:color="auto"/>
        <w:right w:val="none" w:sz="0" w:space="0" w:color="auto"/>
      </w:divBdr>
    </w:div>
    <w:div w:id="265775920">
      <w:bodyDiv w:val="1"/>
      <w:marLeft w:val="0"/>
      <w:marRight w:val="0"/>
      <w:marTop w:val="0"/>
      <w:marBottom w:val="0"/>
      <w:divBdr>
        <w:top w:val="none" w:sz="0" w:space="0" w:color="auto"/>
        <w:left w:val="none" w:sz="0" w:space="0" w:color="auto"/>
        <w:bottom w:val="none" w:sz="0" w:space="0" w:color="auto"/>
        <w:right w:val="none" w:sz="0" w:space="0" w:color="auto"/>
      </w:divBdr>
    </w:div>
    <w:div w:id="322707354">
      <w:bodyDiv w:val="1"/>
      <w:marLeft w:val="0"/>
      <w:marRight w:val="0"/>
      <w:marTop w:val="0"/>
      <w:marBottom w:val="0"/>
      <w:divBdr>
        <w:top w:val="none" w:sz="0" w:space="0" w:color="auto"/>
        <w:left w:val="none" w:sz="0" w:space="0" w:color="auto"/>
        <w:bottom w:val="none" w:sz="0" w:space="0" w:color="auto"/>
        <w:right w:val="none" w:sz="0" w:space="0" w:color="auto"/>
      </w:divBdr>
    </w:div>
    <w:div w:id="323583487">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59666667">
      <w:bodyDiv w:val="1"/>
      <w:marLeft w:val="0"/>
      <w:marRight w:val="0"/>
      <w:marTop w:val="0"/>
      <w:marBottom w:val="0"/>
      <w:divBdr>
        <w:top w:val="none" w:sz="0" w:space="0" w:color="auto"/>
        <w:left w:val="none" w:sz="0" w:space="0" w:color="auto"/>
        <w:bottom w:val="none" w:sz="0" w:space="0" w:color="auto"/>
        <w:right w:val="none" w:sz="0" w:space="0" w:color="auto"/>
      </w:divBdr>
    </w:div>
    <w:div w:id="395978433">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46660038">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489752631">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07906010">
      <w:bodyDiv w:val="1"/>
      <w:marLeft w:val="0"/>
      <w:marRight w:val="0"/>
      <w:marTop w:val="0"/>
      <w:marBottom w:val="0"/>
      <w:divBdr>
        <w:top w:val="none" w:sz="0" w:space="0" w:color="auto"/>
        <w:left w:val="none" w:sz="0" w:space="0" w:color="auto"/>
        <w:bottom w:val="none" w:sz="0" w:space="0" w:color="auto"/>
        <w:right w:val="none" w:sz="0" w:space="0" w:color="auto"/>
      </w:divBdr>
    </w:div>
    <w:div w:id="537204945">
      <w:bodyDiv w:val="1"/>
      <w:marLeft w:val="0"/>
      <w:marRight w:val="0"/>
      <w:marTop w:val="0"/>
      <w:marBottom w:val="0"/>
      <w:divBdr>
        <w:top w:val="none" w:sz="0" w:space="0" w:color="auto"/>
        <w:left w:val="none" w:sz="0" w:space="0" w:color="auto"/>
        <w:bottom w:val="none" w:sz="0" w:space="0" w:color="auto"/>
        <w:right w:val="none" w:sz="0" w:space="0" w:color="auto"/>
      </w:divBdr>
    </w:div>
    <w:div w:id="562451697">
      <w:bodyDiv w:val="1"/>
      <w:marLeft w:val="0"/>
      <w:marRight w:val="0"/>
      <w:marTop w:val="0"/>
      <w:marBottom w:val="0"/>
      <w:divBdr>
        <w:top w:val="none" w:sz="0" w:space="0" w:color="auto"/>
        <w:left w:val="none" w:sz="0" w:space="0" w:color="auto"/>
        <w:bottom w:val="none" w:sz="0" w:space="0" w:color="auto"/>
        <w:right w:val="none" w:sz="0" w:space="0" w:color="auto"/>
      </w:divBdr>
    </w:div>
    <w:div w:id="598217711">
      <w:bodyDiv w:val="1"/>
      <w:marLeft w:val="0"/>
      <w:marRight w:val="0"/>
      <w:marTop w:val="0"/>
      <w:marBottom w:val="0"/>
      <w:divBdr>
        <w:top w:val="none" w:sz="0" w:space="0" w:color="auto"/>
        <w:left w:val="none" w:sz="0" w:space="0" w:color="auto"/>
        <w:bottom w:val="none" w:sz="0" w:space="0" w:color="auto"/>
        <w:right w:val="none" w:sz="0" w:space="0" w:color="auto"/>
      </w:divBdr>
    </w:div>
    <w:div w:id="623973256">
      <w:bodyDiv w:val="1"/>
      <w:marLeft w:val="0"/>
      <w:marRight w:val="0"/>
      <w:marTop w:val="0"/>
      <w:marBottom w:val="0"/>
      <w:divBdr>
        <w:top w:val="none" w:sz="0" w:space="0" w:color="auto"/>
        <w:left w:val="none" w:sz="0" w:space="0" w:color="auto"/>
        <w:bottom w:val="none" w:sz="0" w:space="0" w:color="auto"/>
        <w:right w:val="none" w:sz="0" w:space="0" w:color="auto"/>
      </w:divBdr>
    </w:div>
    <w:div w:id="68729355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14322571">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38027819">
      <w:bodyDiv w:val="1"/>
      <w:marLeft w:val="0"/>
      <w:marRight w:val="0"/>
      <w:marTop w:val="0"/>
      <w:marBottom w:val="0"/>
      <w:divBdr>
        <w:top w:val="none" w:sz="0" w:space="0" w:color="auto"/>
        <w:left w:val="none" w:sz="0" w:space="0" w:color="auto"/>
        <w:bottom w:val="none" w:sz="0" w:space="0" w:color="auto"/>
        <w:right w:val="none" w:sz="0" w:space="0" w:color="auto"/>
      </w:divBdr>
    </w:div>
    <w:div w:id="978924012">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07439491">
      <w:bodyDiv w:val="1"/>
      <w:marLeft w:val="0"/>
      <w:marRight w:val="0"/>
      <w:marTop w:val="0"/>
      <w:marBottom w:val="0"/>
      <w:divBdr>
        <w:top w:val="none" w:sz="0" w:space="0" w:color="auto"/>
        <w:left w:val="none" w:sz="0" w:space="0" w:color="auto"/>
        <w:bottom w:val="none" w:sz="0" w:space="0" w:color="auto"/>
        <w:right w:val="none" w:sz="0" w:space="0" w:color="auto"/>
      </w:divBdr>
    </w:div>
    <w:div w:id="1011646435">
      <w:bodyDiv w:val="1"/>
      <w:marLeft w:val="0"/>
      <w:marRight w:val="0"/>
      <w:marTop w:val="0"/>
      <w:marBottom w:val="0"/>
      <w:divBdr>
        <w:top w:val="none" w:sz="0" w:space="0" w:color="auto"/>
        <w:left w:val="none" w:sz="0" w:space="0" w:color="auto"/>
        <w:bottom w:val="none" w:sz="0" w:space="0" w:color="auto"/>
        <w:right w:val="none" w:sz="0" w:space="0" w:color="auto"/>
      </w:divBdr>
    </w:div>
    <w:div w:id="1044325815">
      <w:bodyDiv w:val="1"/>
      <w:marLeft w:val="0"/>
      <w:marRight w:val="0"/>
      <w:marTop w:val="0"/>
      <w:marBottom w:val="0"/>
      <w:divBdr>
        <w:top w:val="none" w:sz="0" w:space="0" w:color="auto"/>
        <w:left w:val="none" w:sz="0" w:space="0" w:color="auto"/>
        <w:bottom w:val="none" w:sz="0" w:space="0" w:color="auto"/>
        <w:right w:val="none" w:sz="0" w:space="0" w:color="auto"/>
      </w:divBdr>
    </w:div>
    <w:div w:id="1069422972">
      <w:bodyDiv w:val="1"/>
      <w:marLeft w:val="0"/>
      <w:marRight w:val="0"/>
      <w:marTop w:val="0"/>
      <w:marBottom w:val="0"/>
      <w:divBdr>
        <w:top w:val="none" w:sz="0" w:space="0" w:color="auto"/>
        <w:left w:val="none" w:sz="0" w:space="0" w:color="auto"/>
        <w:bottom w:val="none" w:sz="0" w:space="0" w:color="auto"/>
        <w:right w:val="none" w:sz="0" w:space="0" w:color="auto"/>
      </w:divBdr>
    </w:div>
    <w:div w:id="1082406842">
      <w:bodyDiv w:val="1"/>
      <w:marLeft w:val="0"/>
      <w:marRight w:val="0"/>
      <w:marTop w:val="0"/>
      <w:marBottom w:val="0"/>
      <w:divBdr>
        <w:top w:val="none" w:sz="0" w:space="0" w:color="auto"/>
        <w:left w:val="none" w:sz="0" w:space="0" w:color="auto"/>
        <w:bottom w:val="none" w:sz="0" w:space="0" w:color="auto"/>
        <w:right w:val="none" w:sz="0" w:space="0" w:color="auto"/>
      </w:divBdr>
    </w:div>
    <w:div w:id="1112481843">
      <w:bodyDiv w:val="1"/>
      <w:marLeft w:val="0"/>
      <w:marRight w:val="0"/>
      <w:marTop w:val="0"/>
      <w:marBottom w:val="0"/>
      <w:divBdr>
        <w:top w:val="none" w:sz="0" w:space="0" w:color="auto"/>
        <w:left w:val="none" w:sz="0" w:space="0" w:color="auto"/>
        <w:bottom w:val="none" w:sz="0" w:space="0" w:color="auto"/>
        <w:right w:val="none" w:sz="0" w:space="0" w:color="auto"/>
      </w:divBdr>
    </w:div>
    <w:div w:id="1123232304">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02866525">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75866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89456626">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63246708">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599556895">
      <w:bodyDiv w:val="1"/>
      <w:marLeft w:val="0"/>
      <w:marRight w:val="0"/>
      <w:marTop w:val="0"/>
      <w:marBottom w:val="0"/>
      <w:divBdr>
        <w:top w:val="none" w:sz="0" w:space="0" w:color="auto"/>
        <w:left w:val="none" w:sz="0" w:space="0" w:color="auto"/>
        <w:bottom w:val="none" w:sz="0" w:space="0" w:color="auto"/>
        <w:right w:val="none" w:sz="0" w:space="0" w:color="auto"/>
      </w:divBdr>
    </w:div>
    <w:div w:id="1637182665">
      <w:bodyDiv w:val="1"/>
      <w:marLeft w:val="0"/>
      <w:marRight w:val="0"/>
      <w:marTop w:val="0"/>
      <w:marBottom w:val="0"/>
      <w:divBdr>
        <w:top w:val="none" w:sz="0" w:space="0" w:color="auto"/>
        <w:left w:val="none" w:sz="0" w:space="0" w:color="auto"/>
        <w:bottom w:val="none" w:sz="0" w:space="0" w:color="auto"/>
        <w:right w:val="none" w:sz="0" w:space="0" w:color="auto"/>
      </w:divBdr>
    </w:div>
    <w:div w:id="1693413943">
      <w:bodyDiv w:val="1"/>
      <w:marLeft w:val="0"/>
      <w:marRight w:val="0"/>
      <w:marTop w:val="0"/>
      <w:marBottom w:val="0"/>
      <w:divBdr>
        <w:top w:val="none" w:sz="0" w:space="0" w:color="auto"/>
        <w:left w:val="none" w:sz="0" w:space="0" w:color="auto"/>
        <w:bottom w:val="none" w:sz="0" w:space="0" w:color="auto"/>
        <w:right w:val="none" w:sz="0" w:space="0" w:color="auto"/>
      </w:divBdr>
    </w:div>
    <w:div w:id="1731465566">
      <w:bodyDiv w:val="1"/>
      <w:marLeft w:val="0"/>
      <w:marRight w:val="0"/>
      <w:marTop w:val="0"/>
      <w:marBottom w:val="0"/>
      <w:divBdr>
        <w:top w:val="none" w:sz="0" w:space="0" w:color="auto"/>
        <w:left w:val="none" w:sz="0" w:space="0" w:color="auto"/>
        <w:bottom w:val="none" w:sz="0" w:space="0" w:color="auto"/>
        <w:right w:val="none" w:sz="0" w:space="0" w:color="auto"/>
      </w:divBdr>
    </w:div>
    <w:div w:id="177212024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82995325">
      <w:bodyDiv w:val="1"/>
      <w:marLeft w:val="0"/>
      <w:marRight w:val="0"/>
      <w:marTop w:val="0"/>
      <w:marBottom w:val="0"/>
      <w:divBdr>
        <w:top w:val="none" w:sz="0" w:space="0" w:color="auto"/>
        <w:left w:val="none" w:sz="0" w:space="0" w:color="auto"/>
        <w:bottom w:val="none" w:sz="0" w:space="0" w:color="auto"/>
        <w:right w:val="none" w:sz="0" w:space="0" w:color="auto"/>
      </w:divBdr>
    </w:div>
    <w:div w:id="1791319762">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22828877">
      <w:bodyDiv w:val="1"/>
      <w:marLeft w:val="0"/>
      <w:marRight w:val="0"/>
      <w:marTop w:val="0"/>
      <w:marBottom w:val="0"/>
      <w:divBdr>
        <w:top w:val="none" w:sz="0" w:space="0" w:color="auto"/>
        <w:left w:val="none" w:sz="0" w:space="0" w:color="auto"/>
        <w:bottom w:val="none" w:sz="0" w:space="0" w:color="auto"/>
        <w:right w:val="none" w:sz="0" w:space="0" w:color="auto"/>
      </w:divBdr>
    </w:div>
    <w:div w:id="1946497413">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51492600">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3748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an.gomez@manpowergroup.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la.diaz@manpowergroup.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unicacion.manpowergroup@havas.com" TargetMode="External"/><Relationship Id="rId4" Type="http://schemas.openxmlformats.org/officeDocument/2006/relationships/settings" Target="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51664-C86E-4AA0-BC64-DDE645A0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Pages>
  <Words>992</Words>
  <Characters>5462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43</cp:revision>
  <cp:lastPrinted>2022-12-19T17:21:00Z</cp:lastPrinted>
  <dcterms:created xsi:type="dcterms:W3CDTF">2025-06-09T16:30:00Z</dcterms:created>
  <dcterms:modified xsi:type="dcterms:W3CDTF">2025-09-08T17:00:00Z</dcterms:modified>
</cp:coreProperties>
</file>