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28C8E" w14:textId="3955E160" w:rsidR="00D076F3" w:rsidRPr="003A27B7" w:rsidRDefault="003A27B7" w:rsidP="00177A71">
      <w:pPr>
        <w:pBdr>
          <w:top w:val="nil"/>
          <w:left w:val="nil"/>
          <w:bottom w:val="nil"/>
          <w:right w:val="nil"/>
          <w:between w:val="nil"/>
        </w:pBdr>
        <w:spacing w:before="120" w:line="288" w:lineRule="auto"/>
        <w:jc w:val="center"/>
        <w:rPr>
          <w:rFonts w:ascii="Arial" w:eastAsia="Arial" w:hAnsi="Arial" w:cs="Arial"/>
          <w:b/>
          <w:color w:val="000000" w:themeColor="text1"/>
          <w:sz w:val="20"/>
          <w:szCs w:val="20"/>
          <w:u w:val="single"/>
        </w:rPr>
      </w:pPr>
      <w:hyperlink r:id="rId8" w:history="1">
        <w:r w:rsidR="001A2A76" w:rsidRPr="003A27B7">
          <w:rPr>
            <w:rStyle w:val="Hipervnculo"/>
            <w:rFonts w:ascii="Arial" w:eastAsia="Arial" w:hAnsi="Arial" w:cs="Arial"/>
            <w:b/>
            <w:color w:val="000000" w:themeColor="text1"/>
            <w:sz w:val="20"/>
            <w:szCs w:val="20"/>
          </w:rPr>
          <w:t xml:space="preserve">Estudio de Proyección de Empleo de ManpowerGroup para </w:t>
        </w:r>
        <w:r w:rsidR="005E54B0" w:rsidRPr="003A27B7">
          <w:rPr>
            <w:rStyle w:val="Hipervnculo"/>
            <w:rFonts w:ascii="Arial" w:eastAsia="Arial" w:hAnsi="Arial" w:cs="Arial"/>
            <w:b/>
            <w:color w:val="000000" w:themeColor="text1"/>
            <w:sz w:val="20"/>
            <w:szCs w:val="20"/>
          </w:rPr>
          <w:t>julio</w:t>
        </w:r>
        <w:r w:rsidR="009164C2" w:rsidRPr="003A27B7">
          <w:rPr>
            <w:rStyle w:val="Hipervnculo"/>
            <w:rFonts w:ascii="Arial" w:eastAsia="Arial" w:hAnsi="Arial" w:cs="Arial"/>
            <w:b/>
            <w:color w:val="000000" w:themeColor="text1"/>
            <w:sz w:val="20"/>
            <w:szCs w:val="20"/>
          </w:rPr>
          <w:t>-</w:t>
        </w:r>
        <w:r w:rsidR="005E54B0" w:rsidRPr="003A27B7">
          <w:rPr>
            <w:rStyle w:val="Hipervnculo"/>
            <w:rFonts w:ascii="Arial" w:eastAsia="Arial" w:hAnsi="Arial" w:cs="Arial"/>
            <w:b/>
            <w:color w:val="000000" w:themeColor="text1"/>
            <w:sz w:val="20"/>
            <w:szCs w:val="20"/>
          </w:rPr>
          <w:t>septiembre</w:t>
        </w:r>
        <w:r w:rsidR="009164C2" w:rsidRPr="003A27B7">
          <w:rPr>
            <w:rStyle w:val="Hipervnculo"/>
            <w:rFonts w:ascii="Arial" w:eastAsia="Arial" w:hAnsi="Arial" w:cs="Arial"/>
            <w:b/>
            <w:color w:val="000000" w:themeColor="text1"/>
            <w:sz w:val="20"/>
            <w:szCs w:val="20"/>
          </w:rPr>
          <w:t xml:space="preserve"> </w:t>
        </w:r>
        <w:r w:rsidR="001A2A76" w:rsidRPr="003A27B7">
          <w:rPr>
            <w:rStyle w:val="Hipervnculo"/>
            <w:rFonts w:ascii="Arial" w:eastAsia="Arial" w:hAnsi="Arial" w:cs="Arial"/>
            <w:b/>
            <w:color w:val="000000" w:themeColor="text1"/>
            <w:sz w:val="20"/>
            <w:szCs w:val="20"/>
          </w:rPr>
          <w:t>202</w:t>
        </w:r>
        <w:r w:rsidR="009C6E19" w:rsidRPr="003A27B7">
          <w:rPr>
            <w:rStyle w:val="Hipervnculo"/>
            <w:rFonts w:ascii="Arial" w:eastAsia="Arial" w:hAnsi="Arial" w:cs="Arial"/>
            <w:b/>
            <w:color w:val="000000" w:themeColor="text1"/>
            <w:sz w:val="20"/>
            <w:szCs w:val="20"/>
          </w:rPr>
          <w:t>6</w:t>
        </w:r>
      </w:hyperlink>
    </w:p>
    <w:p w14:paraId="7EE53BD5" w14:textId="77777777" w:rsidR="0041488B" w:rsidRDefault="0041488B" w:rsidP="00B45CF0">
      <w:pPr>
        <w:pStyle w:val="Prrafodelista"/>
        <w:spacing w:before="120" w:line="288" w:lineRule="auto"/>
        <w:jc w:val="center"/>
        <w:rPr>
          <w:rFonts w:ascii="Arial" w:eastAsia="Arial" w:hAnsi="Arial" w:cs="Arial"/>
          <w:b/>
          <w:bCs/>
          <w:sz w:val="36"/>
          <w:szCs w:val="36"/>
        </w:rPr>
      </w:pPr>
      <w:bookmarkStart w:id="0" w:name="_Hlk113557077"/>
    </w:p>
    <w:p w14:paraId="009100D4" w14:textId="210D863A" w:rsidR="00A328F3" w:rsidRDefault="007C33D5" w:rsidP="00B45CF0">
      <w:pPr>
        <w:pStyle w:val="Prrafodelista"/>
        <w:spacing w:before="120" w:line="288" w:lineRule="auto"/>
        <w:jc w:val="center"/>
        <w:rPr>
          <w:rFonts w:ascii="Arial" w:eastAsia="Arial" w:hAnsi="Arial" w:cs="Arial"/>
          <w:b/>
          <w:bCs/>
          <w:sz w:val="36"/>
          <w:szCs w:val="36"/>
        </w:rPr>
      </w:pPr>
      <w:r>
        <w:rPr>
          <w:rFonts w:ascii="Arial" w:eastAsia="Arial" w:hAnsi="Arial" w:cs="Arial"/>
          <w:b/>
          <w:bCs/>
          <w:sz w:val="36"/>
          <w:szCs w:val="36"/>
        </w:rPr>
        <w:t>Las empresas españolas</w:t>
      </w:r>
      <w:r w:rsidR="00FC59DA">
        <w:rPr>
          <w:rFonts w:ascii="Arial" w:eastAsia="Arial" w:hAnsi="Arial" w:cs="Arial"/>
          <w:b/>
          <w:bCs/>
          <w:sz w:val="36"/>
          <w:szCs w:val="36"/>
        </w:rPr>
        <w:t xml:space="preserve"> moderan sus previsiones de contratación, aunque mantienen una expectativa positiva del 11%</w:t>
      </w:r>
      <w:r>
        <w:rPr>
          <w:rFonts w:ascii="Arial" w:eastAsia="Arial" w:hAnsi="Arial" w:cs="Arial"/>
          <w:b/>
          <w:bCs/>
          <w:sz w:val="36"/>
          <w:szCs w:val="36"/>
        </w:rPr>
        <w:t xml:space="preserve"> </w:t>
      </w:r>
    </w:p>
    <w:p w14:paraId="09FC30ED" w14:textId="77777777" w:rsidR="007C33D5" w:rsidRPr="00B45CF0" w:rsidRDefault="007C33D5" w:rsidP="00B45CF0">
      <w:pPr>
        <w:pStyle w:val="Prrafodelista"/>
        <w:spacing w:before="120" w:line="288" w:lineRule="auto"/>
        <w:jc w:val="center"/>
        <w:rPr>
          <w:rFonts w:ascii="Arial" w:eastAsia="Arial" w:hAnsi="Arial" w:cs="Arial"/>
          <w:b/>
          <w:bCs/>
          <w:sz w:val="36"/>
          <w:szCs w:val="36"/>
        </w:rPr>
      </w:pPr>
    </w:p>
    <w:p w14:paraId="0D673BB1" w14:textId="5B0C6F64" w:rsidR="00FC59DA" w:rsidRDefault="00FC59DA" w:rsidP="00A328F3">
      <w:pPr>
        <w:pStyle w:val="Prrafodelista"/>
        <w:numPr>
          <w:ilvl w:val="0"/>
          <w:numId w:val="8"/>
        </w:numPr>
        <w:spacing w:before="120" w:line="288" w:lineRule="auto"/>
        <w:jc w:val="both"/>
        <w:rPr>
          <w:rFonts w:ascii="Arial" w:eastAsia="Arial" w:hAnsi="Arial" w:cs="Arial"/>
          <w:b/>
          <w:sz w:val="22"/>
          <w:szCs w:val="22"/>
        </w:rPr>
      </w:pPr>
      <w:r>
        <w:rPr>
          <w:rFonts w:ascii="Arial" w:eastAsia="Arial" w:hAnsi="Arial" w:cs="Arial"/>
          <w:b/>
          <w:sz w:val="22"/>
          <w:szCs w:val="22"/>
        </w:rPr>
        <w:t>El 35% de las compañías prevé aumentar sus plantillas durante el tercer trimestre del 2026</w:t>
      </w:r>
      <w:r w:rsidR="006C65CF">
        <w:rPr>
          <w:rFonts w:ascii="Arial" w:eastAsia="Arial" w:hAnsi="Arial" w:cs="Arial"/>
          <w:b/>
          <w:sz w:val="22"/>
          <w:szCs w:val="22"/>
        </w:rPr>
        <w:t xml:space="preserve">, </w:t>
      </w:r>
      <w:r w:rsidR="0076468C">
        <w:rPr>
          <w:rFonts w:ascii="Arial" w:eastAsia="Arial" w:hAnsi="Arial" w:cs="Arial"/>
          <w:b/>
          <w:sz w:val="22"/>
          <w:szCs w:val="22"/>
        </w:rPr>
        <w:t xml:space="preserve">frente al </w:t>
      </w:r>
      <w:r w:rsidR="006C65CF">
        <w:rPr>
          <w:rFonts w:ascii="Arial" w:eastAsia="Arial" w:hAnsi="Arial" w:cs="Arial"/>
          <w:b/>
          <w:sz w:val="22"/>
          <w:szCs w:val="22"/>
        </w:rPr>
        <w:t>22% que anticipa reducirlas</w:t>
      </w:r>
    </w:p>
    <w:p w14:paraId="671F4AD1" w14:textId="41F346C6" w:rsidR="00AF5049" w:rsidRDefault="0076468C" w:rsidP="00A328F3">
      <w:pPr>
        <w:pStyle w:val="Prrafodelista"/>
        <w:numPr>
          <w:ilvl w:val="0"/>
          <w:numId w:val="8"/>
        </w:numPr>
        <w:spacing w:before="120" w:line="288" w:lineRule="auto"/>
        <w:jc w:val="both"/>
        <w:rPr>
          <w:rFonts w:ascii="Arial" w:eastAsia="Arial" w:hAnsi="Arial" w:cs="Arial"/>
          <w:b/>
          <w:sz w:val="22"/>
          <w:szCs w:val="22"/>
        </w:rPr>
      </w:pPr>
      <w:r>
        <w:rPr>
          <w:rFonts w:ascii="Arial" w:eastAsia="Arial" w:hAnsi="Arial" w:cs="Arial"/>
          <w:b/>
          <w:sz w:val="22"/>
          <w:szCs w:val="22"/>
        </w:rPr>
        <w:t xml:space="preserve">España pierde impulso en expectativas de contratación respecto al trimestre anterior (-17 puntos) aunque se mantiene en términos interanuales con una previsión positiva del 11%, aún por debajo de la media global (26%) </w:t>
      </w:r>
    </w:p>
    <w:p w14:paraId="09ACE948" w14:textId="2750BEDF" w:rsidR="00FC59DA" w:rsidRDefault="0076468C" w:rsidP="00A328F3">
      <w:pPr>
        <w:pStyle w:val="Prrafodelista"/>
        <w:numPr>
          <w:ilvl w:val="0"/>
          <w:numId w:val="8"/>
        </w:numPr>
        <w:spacing w:before="120" w:line="288" w:lineRule="auto"/>
        <w:jc w:val="both"/>
        <w:rPr>
          <w:rFonts w:ascii="Arial" w:eastAsia="Arial" w:hAnsi="Arial" w:cs="Arial"/>
          <w:b/>
          <w:sz w:val="22"/>
          <w:szCs w:val="22"/>
        </w:rPr>
      </w:pPr>
      <w:r>
        <w:rPr>
          <w:rFonts w:ascii="Arial" w:eastAsia="Arial" w:hAnsi="Arial" w:cs="Arial"/>
          <w:b/>
          <w:sz w:val="22"/>
          <w:szCs w:val="22"/>
        </w:rPr>
        <w:t>T</w:t>
      </w:r>
      <w:r w:rsidR="00FC59DA">
        <w:rPr>
          <w:rFonts w:ascii="Arial" w:eastAsia="Arial" w:hAnsi="Arial" w:cs="Arial"/>
          <w:b/>
          <w:sz w:val="22"/>
          <w:szCs w:val="22"/>
        </w:rPr>
        <w:t>elecomunicaciones, medios y entretenimiento</w:t>
      </w:r>
      <w:r w:rsidR="00B65AC6">
        <w:rPr>
          <w:rFonts w:ascii="Arial" w:eastAsia="Arial" w:hAnsi="Arial" w:cs="Arial"/>
          <w:b/>
          <w:sz w:val="22"/>
          <w:szCs w:val="22"/>
        </w:rPr>
        <w:t xml:space="preserve"> </w:t>
      </w:r>
      <w:r>
        <w:rPr>
          <w:rFonts w:ascii="Arial" w:eastAsia="Arial" w:hAnsi="Arial" w:cs="Arial"/>
          <w:b/>
          <w:sz w:val="22"/>
          <w:szCs w:val="22"/>
        </w:rPr>
        <w:t xml:space="preserve">lidera las </w:t>
      </w:r>
      <w:r w:rsidR="00B65AC6">
        <w:rPr>
          <w:rFonts w:ascii="Arial" w:eastAsia="Arial" w:hAnsi="Arial" w:cs="Arial"/>
          <w:b/>
          <w:sz w:val="22"/>
          <w:szCs w:val="22"/>
        </w:rPr>
        <w:t xml:space="preserve">previsiones </w:t>
      </w:r>
      <w:r w:rsidR="006C65CF">
        <w:rPr>
          <w:rFonts w:ascii="Arial" w:eastAsia="Arial" w:hAnsi="Arial" w:cs="Arial"/>
          <w:b/>
          <w:sz w:val="22"/>
          <w:szCs w:val="22"/>
        </w:rPr>
        <w:t>en España, con una expectativa</w:t>
      </w:r>
      <w:r>
        <w:rPr>
          <w:rFonts w:ascii="Arial" w:eastAsia="Arial" w:hAnsi="Arial" w:cs="Arial"/>
          <w:b/>
          <w:sz w:val="22"/>
          <w:szCs w:val="22"/>
        </w:rPr>
        <w:t xml:space="preserve"> de contratación</w:t>
      </w:r>
      <w:r w:rsidR="006C65CF">
        <w:rPr>
          <w:rFonts w:ascii="Arial" w:eastAsia="Arial" w:hAnsi="Arial" w:cs="Arial"/>
          <w:b/>
          <w:sz w:val="22"/>
          <w:szCs w:val="22"/>
        </w:rPr>
        <w:t xml:space="preserve"> del 33%</w:t>
      </w:r>
      <w:r w:rsidR="00FC59DA">
        <w:rPr>
          <w:rFonts w:ascii="Arial" w:eastAsia="Arial" w:hAnsi="Arial" w:cs="Arial"/>
          <w:b/>
          <w:sz w:val="22"/>
          <w:szCs w:val="22"/>
        </w:rPr>
        <w:t xml:space="preserve"> </w:t>
      </w:r>
    </w:p>
    <w:p w14:paraId="4A496070" w14:textId="327FA1CB" w:rsidR="006C65CF" w:rsidRDefault="006C65CF" w:rsidP="00A328F3">
      <w:pPr>
        <w:pStyle w:val="Prrafodelista"/>
        <w:numPr>
          <w:ilvl w:val="0"/>
          <w:numId w:val="8"/>
        </w:numPr>
        <w:spacing w:before="120" w:line="288" w:lineRule="auto"/>
        <w:jc w:val="both"/>
        <w:rPr>
          <w:rFonts w:ascii="Arial" w:eastAsia="Arial" w:hAnsi="Arial" w:cs="Arial"/>
          <w:b/>
          <w:sz w:val="22"/>
          <w:szCs w:val="22"/>
        </w:rPr>
      </w:pPr>
      <w:r>
        <w:rPr>
          <w:rFonts w:ascii="Arial" w:eastAsia="Arial" w:hAnsi="Arial" w:cs="Arial"/>
          <w:b/>
          <w:sz w:val="22"/>
          <w:szCs w:val="22"/>
        </w:rPr>
        <w:t>Las empresas de entre 250 y 999 empleados presentan las previsiones más optimistas con un 19% de intención de contratación</w:t>
      </w:r>
    </w:p>
    <w:p w14:paraId="67948FEB" w14:textId="77777777" w:rsidR="00A328F3" w:rsidRPr="002E1864" w:rsidRDefault="00A328F3" w:rsidP="002E1864">
      <w:pPr>
        <w:spacing w:before="120" w:line="288" w:lineRule="auto"/>
        <w:jc w:val="both"/>
        <w:rPr>
          <w:rFonts w:ascii="Arial" w:eastAsia="Arial" w:hAnsi="Arial" w:cs="Arial"/>
          <w:b/>
          <w:sz w:val="22"/>
          <w:szCs w:val="22"/>
        </w:rPr>
      </w:pPr>
      <w:bookmarkStart w:id="1" w:name="_Hlk137140302"/>
      <w:bookmarkStart w:id="2" w:name="_Hlk113557102"/>
      <w:bookmarkStart w:id="3" w:name="_Hlk90223537"/>
      <w:bookmarkStart w:id="4" w:name="_Hlk89449303"/>
      <w:bookmarkStart w:id="5" w:name="_Hlk89449332"/>
      <w:bookmarkEnd w:id="0"/>
    </w:p>
    <w:p w14:paraId="4D8716B3" w14:textId="59FE0ADF" w:rsidR="00F6289F" w:rsidRPr="0076468C" w:rsidRDefault="000A7DFE" w:rsidP="00A328F3">
      <w:pPr>
        <w:spacing w:before="120" w:line="288" w:lineRule="auto"/>
        <w:jc w:val="both"/>
        <w:rPr>
          <w:rFonts w:ascii="Arial" w:eastAsia="Arial" w:hAnsi="Arial" w:cs="Arial"/>
          <w:b/>
          <w:sz w:val="20"/>
          <w:szCs w:val="20"/>
        </w:rPr>
      </w:pPr>
      <w:bookmarkStart w:id="6" w:name="_Hlk215568333"/>
      <w:r w:rsidRPr="00890CD3">
        <w:rPr>
          <w:rFonts w:ascii="Arial" w:eastAsia="Arial" w:hAnsi="Arial" w:cs="Arial"/>
          <w:b/>
          <w:sz w:val="20"/>
          <w:szCs w:val="20"/>
        </w:rPr>
        <w:t xml:space="preserve">Madrid, </w:t>
      </w:r>
      <w:r w:rsidR="0076468C">
        <w:rPr>
          <w:rFonts w:ascii="Arial" w:eastAsia="Arial" w:hAnsi="Arial" w:cs="Arial"/>
          <w:b/>
          <w:sz w:val="20"/>
          <w:szCs w:val="20"/>
        </w:rPr>
        <w:t>9</w:t>
      </w:r>
      <w:r w:rsidRPr="00890CD3">
        <w:rPr>
          <w:rFonts w:ascii="Arial" w:eastAsia="Arial" w:hAnsi="Arial" w:cs="Arial"/>
          <w:b/>
          <w:sz w:val="20"/>
          <w:szCs w:val="20"/>
        </w:rPr>
        <w:t xml:space="preserve"> de </w:t>
      </w:r>
      <w:r w:rsidR="005E54B0">
        <w:rPr>
          <w:rFonts w:ascii="Arial" w:eastAsia="Arial" w:hAnsi="Arial" w:cs="Arial"/>
          <w:b/>
          <w:sz w:val="20"/>
          <w:szCs w:val="20"/>
        </w:rPr>
        <w:t>junio</w:t>
      </w:r>
      <w:r w:rsidRPr="00890CD3">
        <w:rPr>
          <w:rFonts w:ascii="Arial" w:eastAsia="Arial" w:hAnsi="Arial" w:cs="Arial"/>
          <w:b/>
          <w:sz w:val="20"/>
          <w:szCs w:val="20"/>
        </w:rPr>
        <w:t xml:space="preserve"> de 202</w:t>
      </w:r>
      <w:r w:rsidR="00A328F3" w:rsidRPr="00890CD3">
        <w:rPr>
          <w:rFonts w:ascii="Arial" w:eastAsia="Arial" w:hAnsi="Arial" w:cs="Arial"/>
          <w:b/>
          <w:sz w:val="20"/>
          <w:szCs w:val="20"/>
        </w:rPr>
        <w:t>6</w:t>
      </w:r>
      <w:r w:rsidR="00E376BD" w:rsidRPr="00890CD3">
        <w:rPr>
          <w:rFonts w:ascii="Arial" w:eastAsia="Arial" w:hAnsi="Arial" w:cs="Arial"/>
          <w:b/>
          <w:sz w:val="20"/>
          <w:szCs w:val="20"/>
        </w:rPr>
        <w:t>.</w:t>
      </w:r>
      <w:r w:rsidR="00956D9A" w:rsidRPr="00890CD3">
        <w:rPr>
          <w:rFonts w:ascii="Arial" w:eastAsia="Arial" w:hAnsi="Arial" w:cs="Arial"/>
          <w:b/>
          <w:sz w:val="20"/>
          <w:szCs w:val="20"/>
        </w:rPr>
        <w:t>-</w:t>
      </w:r>
      <w:r w:rsidR="008E048D" w:rsidRPr="00890CD3">
        <w:rPr>
          <w:rFonts w:ascii="Arial" w:eastAsia="Arial" w:hAnsi="Arial" w:cs="Arial"/>
          <w:b/>
          <w:sz w:val="20"/>
          <w:szCs w:val="20"/>
        </w:rPr>
        <w:t xml:space="preserve"> </w:t>
      </w:r>
      <w:bookmarkEnd w:id="1"/>
      <w:bookmarkEnd w:id="2"/>
      <w:r w:rsidR="006C65CF">
        <w:rPr>
          <w:rFonts w:ascii="Arial" w:eastAsia="Arial" w:hAnsi="Arial" w:cs="Arial"/>
          <w:bCs/>
          <w:sz w:val="20"/>
          <w:szCs w:val="20"/>
        </w:rPr>
        <w:t xml:space="preserve">Tras el fuerte impulso registrado durante el segundo trimestre del año, las previsiones de contratación en España </w:t>
      </w:r>
      <w:r w:rsidR="00492239">
        <w:rPr>
          <w:rFonts w:ascii="Arial" w:eastAsia="Arial" w:hAnsi="Arial" w:cs="Arial"/>
          <w:bCs/>
          <w:sz w:val="20"/>
          <w:szCs w:val="20"/>
        </w:rPr>
        <w:t xml:space="preserve">son </w:t>
      </w:r>
      <w:r w:rsidR="006E7E3E">
        <w:rPr>
          <w:rFonts w:ascii="Arial" w:eastAsia="Arial" w:hAnsi="Arial" w:cs="Arial"/>
          <w:bCs/>
          <w:sz w:val="20"/>
          <w:szCs w:val="20"/>
        </w:rPr>
        <w:t xml:space="preserve">más moderadas que las </w:t>
      </w:r>
      <w:r w:rsidR="00771088">
        <w:rPr>
          <w:rFonts w:ascii="Arial" w:eastAsia="Arial" w:hAnsi="Arial" w:cs="Arial"/>
          <w:bCs/>
          <w:sz w:val="20"/>
          <w:szCs w:val="20"/>
        </w:rPr>
        <w:t>d</w:t>
      </w:r>
      <w:r w:rsidR="006E7E3E">
        <w:rPr>
          <w:rFonts w:ascii="Arial" w:eastAsia="Arial" w:hAnsi="Arial" w:cs="Arial"/>
          <w:bCs/>
          <w:sz w:val="20"/>
          <w:szCs w:val="20"/>
        </w:rPr>
        <w:t>el periodo anterior. De acuerdo con el</w:t>
      </w:r>
      <w:r w:rsidR="005E54B0">
        <w:rPr>
          <w:rFonts w:ascii="Arial" w:eastAsia="Arial" w:hAnsi="Arial" w:cs="Arial"/>
          <w:bCs/>
          <w:sz w:val="20"/>
          <w:szCs w:val="20"/>
        </w:rPr>
        <w:t xml:space="preserve"> </w:t>
      </w:r>
      <w:r w:rsidR="00ED6AAE" w:rsidRPr="00890CD3">
        <w:rPr>
          <w:rFonts w:ascii="Arial" w:eastAsia="Arial" w:hAnsi="Arial" w:cs="Arial"/>
          <w:b/>
          <w:sz w:val="20"/>
          <w:szCs w:val="20"/>
        </w:rPr>
        <w:t>Estudio de Proyección de Empleo de ManpowerGroup</w:t>
      </w:r>
      <w:r w:rsidR="006E7E3E">
        <w:rPr>
          <w:rFonts w:ascii="Arial" w:eastAsia="Arial" w:hAnsi="Arial" w:cs="Arial"/>
          <w:bCs/>
          <w:sz w:val="20"/>
          <w:szCs w:val="20"/>
        </w:rPr>
        <w:t xml:space="preserve">, </w:t>
      </w:r>
      <w:r w:rsidR="006C65CF">
        <w:rPr>
          <w:rFonts w:ascii="Arial" w:eastAsia="Arial" w:hAnsi="Arial" w:cs="Arial"/>
          <w:bCs/>
          <w:sz w:val="20"/>
          <w:szCs w:val="20"/>
        </w:rPr>
        <w:t>la expectativa</w:t>
      </w:r>
      <w:r w:rsidR="00B126CB">
        <w:rPr>
          <w:rFonts w:ascii="Arial" w:eastAsia="Arial" w:hAnsi="Arial" w:cs="Arial"/>
          <w:bCs/>
          <w:sz w:val="20"/>
          <w:szCs w:val="20"/>
        </w:rPr>
        <w:t xml:space="preserve"> </w:t>
      </w:r>
      <w:r w:rsidR="006E7E3E">
        <w:rPr>
          <w:rFonts w:ascii="Arial" w:eastAsia="Arial" w:hAnsi="Arial" w:cs="Arial"/>
          <w:bCs/>
          <w:sz w:val="20"/>
          <w:szCs w:val="20"/>
        </w:rPr>
        <w:t xml:space="preserve">neta </w:t>
      </w:r>
      <w:r w:rsidR="00B126CB">
        <w:rPr>
          <w:rFonts w:ascii="Arial" w:eastAsia="Arial" w:hAnsi="Arial" w:cs="Arial"/>
          <w:bCs/>
          <w:sz w:val="20"/>
          <w:szCs w:val="20"/>
        </w:rPr>
        <w:t xml:space="preserve">de contrataciones </w:t>
      </w:r>
      <w:r w:rsidR="006E7E3E">
        <w:rPr>
          <w:rFonts w:ascii="Arial" w:eastAsia="Arial" w:hAnsi="Arial" w:cs="Arial"/>
          <w:bCs/>
          <w:sz w:val="20"/>
          <w:szCs w:val="20"/>
        </w:rPr>
        <w:t xml:space="preserve">se sitúa </w:t>
      </w:r>
      <w:r w:rsidR="00B126CB">
        <w:rPr>
          <w:rFonts w:ascii="Arial" w:eastAsia="Arial" w:hAnsi="Arial" w:cs="Arial"/>
          <w:bCs/>
          <w:sz w:val="20"/>
          <w:szCs w:val="20"/>
        </w:rPr>
        <w:t xml:space="preserve">en </w:t>
      </w:r>
      <w:r w:rsidR="006E7E3E">
        <w:rPr>
          <w:rFonts w:ascii="Arial" w:eastAsia="Arial" w:hAnsi="Arial" w:cs="Arial"/>
          <w:bCs/>
          <w:sz w:val="20"/>
          <w:szCs w:val="20"/>
        </w:rPr>
        <w:t>el</w:t>
      </w:r>
      <w:r w:rsidR="00B126CB">
        <w:rPr>
          <w:rFonts w:ascii="Arial" w:eastAsia="Arial" w:hAnsi="Arial" w:cs="Arial"/>
          <w:bCs/>
          <w:sz w:val="20"/>
          <w:szCs w:val="20"/>
        </w:rPr>
        <w:t xml:space="preserve"> </w:t>
      </w:r>
      <w:r w:rsidR="00B126CB" w:rsidRPr="00B126CB">
        <w:rPr>
          <w:rFonts w:ascii="Arial" w:eastAsia="Arial" w:hAnsi="Arial" w:cs="Arial"/>
          <w:b/>
          <w:sz w:val="20"/>
          <w:szCs w:val="20"/>
        </w:rPr>
        <w:t>11%</w:t>
      </w:r>
      <w:r w:rsidR="00151F63">
        <w:rPr>
          <w:rFonts w:ascii="Arial" w:eastAsia="Arial" w:hAnsi="Arial" w:cs="Arial"/>
          <w:b/>
          <w:sz w:val="20"/>
          <w:szCs w:val="20"/>
        </w:rPr>
        <w:t xml:space="preserve">, </w:t>
      </w:r>
      <w:r w:rsidR="00151F63" w:rsidRPr="005B0836">
        <w:rPr>
          <w:rFonts w:ascii="Arial" w:eastAsia="Arial" w:hAnsi="Arial" w:cs="Arial"/>
          <w:bCs/>
          <w:sz w:val="20"/>
          <w:szCs w:val="20"/>
        </w:rPr>
        <w:t>lo</w:t>
      </w:r>
      <w:r w:rsidR="00B126CB">
        <w:rPr>
          <w:rFonts w:ascii="Arial" w:eastAsia="Arial" w:hAnsi="Arial" w:cs="Arial"/>
          <w:bCs/>
          <w:sz w:val="20"/>
          <w:szCs w:val="20"/>
        </w:rPr>
        <w:t xml:space="preserve"> </w:t>
      </w:r>
      <w:r w:rsidR="00A358E6">
        <w:rPr>
          <w:rFonts w:ascii="Arial" w:eastAsia="Arial" w:hAnsi="Arial" w:cs="Arial"/>
          <w:bCs/>
          <w:sz w:val="20"/>
          <w:szCs w:val="20"/>
        </w:rPr>
        <w:t>que supone una bajada de 1</w:t>
      </w:r>
      <w:r w:rsidR="0074055B">
        <w:rPr>
          <w:rFonts w:ascii="Arial" w:eastAsia="Arial" w:hAnsi="Arial" w:cs="Arial"/>
          <w:bCs/>
          <w:sz w:val="20"/>
          <w:szCs w:val="20"/>
        </w:rPr>
        <w:t>7</w:t>
      </w:r>
      <w:r w:rsidR="00A358E6">
        <w:rPr>
          <w:rFonts w:ascii="Arial" w:eastAsia="Arial" w:hAnsi="Arial" w:cs="Arial"/>
          <w:bCs/>
          <w:sz w:val="20"/>
          <w:szCs w:val="20"/>
        </w:rPr>
        <w:t xml:space="preserve"> puntos</w:t>
      </w:r>
      <w:r w:rsidR="00151F63">
        <w:rPr>
          <w:rFonts w:ascii="Arial" w:eastAsia="Arial" w:hAnsi="Arial" w:cs="Arial"/>
          <w:bCs/>
          <w:sz w:val="20"/>
          <w:szCs w:val="20"/>
        </w:rPr>
        <w:t xml:space="preserve">. </w:t>
      </w:r>
      <w:r w:rsidR="00881892">
        <w:rPr>
          <w:rFonts w:ascii="Arial" w:eastAsia="Arial" w:hAnsi="Arial" w:cs="Arial"/>
          <w:bCs/>
          <w:sz w:val="20"/>
          <w:szCs w:val="20"/>
        </w:rPr>
        <w:t>El</w:t>
      </w:r>
      <w:r w:rsidR="00B126CB">
        <w:rPr>
          <w:rFonts w:ascii="Arial" w:eastAsia="Arial" w:hAnsi="Arial" w:cs="Arial"/>
          <w:bCs/>
          <w:sz w:val="20"/>
          <w:szCs w:val="20"/>
        </w:rPr>
        <w:t xml:space="preserve"> dato </w:t>
      </w:r>
      <w:r w:rsidR="00A358E6">
        <w:rPr>
          <w:rFonts w:ascii="Arial" w:eastAsia="Arial" w:hAnsi="Arial" w:cs="Arial"/>
          <w:bCs/>
          <w:sz w:val="20"/>
          <w:szCs w:val="20"/>
        </w:rPr>
        <w:t>muestra que el</w:t>
      </w:r>
      <w:r w:rsidR="00B126CB">
        <w:rPr>
          <w:rFonts w:ascii="Arial" w:eastAsia="Arial" w:hAnsi="Arial" w:cs="Arial"/>
          <w:bCs/>
          <w:sz w:val="20"/>
          <w:szCs w:val="20"/>
        </w:rPr>
        <w:t xml:space="preserve"> mercado laboral </w:t>
      </w:r>
      <w:r w:rsidR="00A358E6">
        <w:rPr>
          <w:rFonts w:ascii="Arial" w:eastAsia="Arial" w:hAnsi="Arial" w:cs="Arial"/>
          <w:bCs/>
          <w:sz w:val="20"/>
          <w:szCs w:val="20"/>
        </w:rPr>
        <w:t xml:space="preserve">se mantiene </w:t>
      </w:r>
      <w:r w:rsidR="00B126CB">
        <w:rPr>
          <w:rFonts w:ascii="Arial" w:eastAsia="Arial" w:hAnsi="Arial" w:cs="Arial"/>
          <w:bCs/>
          <w:sz w:val="20"/>
          <w:szCs w:val="20"/>
        </w:rPr>
        <w:t>en terreno positivo</w:t>
      </w:r>
      <w:r w:rsidR="00A358E6">
        <w:rPr>
          <w:rFonts w:ascii="Arial" w:eastAsia="Arial" w:hAnsi="Arial" w:cs="Arial"/>
          <w:bCs/>
          <w:sz w:val="20"/>
          <w:szCs w:val="20"/>
        </w:rPr>
        <w:t xml:space="preserve"> pese a estar atravesando</w:t>
      </w:r>
      <w:r w:rsidR="00B126CB">
        <w:rPr>
          <w:rFonts w:ascii="Arial" w:eastAsia="Arial" w:hAnsi="Arial" w:cs="Arial"/>
          <w:bCs/>
          <w:sz w:val="20"/>
          <w:szCs w:val="20"/>
        </w:rPr>
        <w:t xml:space="preserve"> un contexto marcado por una creciente cautela empresarial a nivel global</w:t>
      </w:r>
      <w:r w:rsidR="0019492D">
        <w:rPr>
          <w:rFonts w:ascii="Arial" w:eastAsia="Arial" w:hAnsi="Arial" w:cs="Arial"/>
          <w:bCs/>
          <w:sz w:val="20"/>
          <w:szCs w:val="20"/>
        </w:rPr>
        <w:t>, lo que propicia posiciones más conservadoras en torn</w:t>
      </w:r>
      <w:r w:rsidR="005B0836">
        <w:rPr>
          <w:rFonts w:ascii="Arial" w:eastAsia="Arial" w:hAnsi="Arial" w:cs="Arial"/>
          <w:bCs/>
          <w:sz w:val="20"/>
          <w:szCs w:val="20"/>
        </w:rPr>
        <w:t>o</w:t>
      </w:r>
      <w:r w:rsidR="0019492D">
        <w:rPr>
          <w:rFonts w:ascii="Arial" w:eastAsia="Arial" w:hAnsi="Arial" w:cs="Arial"/>
          <w:bCs/>
          <w:sz w:val="20"/>
          <w:szCs w:val="20"/>
        </w:rPr>
        <w:t xml:space="preserve"> a la generación de nuevos empleos.</w:t>
      </w:r>
      <w:r w:rsidR="00B126CB">
        <w:rPr>
          <w:rFonts w:ascii="Arial" w:eastAsia="Arial" w:hAnsi="Arial" w:cs="Arial"/>
          <w:bCs/>
          <w:sz w:val="20"/>
          <w:szCs w:val="20"/>
        </w:rPr>
        <w:t xml:space="preserve"> </w:t>
      </w:r>
    </w:p>
    <w:p w14:paraId="075D5DCE" w14:textId="7A2500A1" w:rsidR="00F6289F" w:rsidRDefault="006E7E3E" w:rsidP="006E7E3E">
      <w:pPr>
        <w:spacing w:before="120" w:line="288" w:lineRule="auto"/>
        <w:jc w:val="both"/>
        <w:rPr>
          <w:rFonts w:ascii="Arial" w:eastAsia="Arial" w:hAnsi="Arial" w:cs="Arial"/>
          <w:bCs/>
          <w:sz w:val="20"/>
          <w:szCs w:val="20"/>
        </w:rPr>
      </w:pPr>
      <w:r>
        <w:rPr>
          <w:rFonts w:ascii="Arial" w:eastAsia="Arial" w:hAnsi="Arial" w:cs="Arial"/>
          <w:bCs/>
          <w:sz w:val="20"/>
          <w:szCs w:val="20"/>
        </w:rPr>
        <w:t xml:space="preserve">En este </w:t>
      </w:r>
      <w:r w:rsidR="00881892">
        <w:rPr>
          <w:rFonts w:ascii="Arial" w:eastAsia="Arial" w:hAnsi="Arial" w:cs="Arial"/>
          <w:bCs/>
          <w:sz w:val="20"/>
          <w:szCs w:val="20"/>
        </w:rPr>
        <w:t>escenario</w:t>
      </w:r>
      <w:r>
        <w:rPr>
          <w:rFonts w:ascii="Arial" w:eastAsia="Arial" w:hAnsi="Arial" w:cs="Arial"/>
          <w:bCs/>
          <w:sz w:val="20"/>
          <w:szCs w:val="20"/>
        </w:rPr>
        <w:t xml:space="preserve">, </w:t>
      </w:r>
      <w:r w:rsidR="007147B2">
        <w:rPr>
          <w:rFonts w:ascii="Arial" w:eastAsia="Arial" w:hAnsi="Arial" w:cs="Arial"/>
          <w:bCs/>
          <w:sz w:val="20"/>
          <w:szCs w:val="20"/>
        </w:rPr>
        <w:t>el mercado laboral muestra una tendencia de estabilidad.</w:t>
      </w:r>
      <w:r>
        <w:rPr>
          <w:rFonts w:ascii="Arial" w:eastAsia="Arial" w:hAnsi="Arial" w:cs="Arial"/>
          <w:bCs/>
          <w:sz w:val="20"/>
          <w:szCs w:val="20"/>
        </w:rPr>
        <w:t xml:space="preserve"> </w:t>
      </w:r>
      <w:r w:rsidR="00881892">
        <w:rPr>
          <w:rFonts w:ascii="Arial" w:eastAsia="Arial" w:hAnsi="Arial" w:cs="Arial"/>
          <w:bCs/>
          <w:sz w:val="20"/>
          <w:szCs w:val="20"/>
        </w:rPr>
        <w:t xml:space="preserve">Cuatro de cada 10 empresas </w:t>
      </w:r>
      <w:r w:rsidR="00151F63">
        <w:rPr>
          <w:rFonts w:ascii="Arial" w:eastAsia="Arial" w:hAnsi="Arial" w:cs="Arial"/>
          <w:bCs/>
          <w:sz w:val="20"/>
          <w:szCs w:val="20"/>
        </w:rPr>
        <w:t>(41%)</w:t>
      </w:r>
      <w:r w:rsidR="00881892">
        <w:rPr>
          <w:rFonts w:ascii="Arial" w:eastAsia="Arial" w:hAnsi="Arial" w:cs="Arial"/>
          <w:bCs/>
          <w:sz w:val="20"/>
          <w:szCs w:val="20"/>
        </w:rPr>
        <w:t xml:space="preserve"> opta</w:t>
      </w:r>
      <w:r w:rsidR="007147B2">
        <w:rPr>
          <w:rFonts w:ascii="Arial" w:eastAsia="Arial" w:hAnsi="Arial" w:cs="Arial"/>
          <w:bCs/>
          <w:sz w:val="20"/>
          <w:szCs w:val="20"/>
        </w:rPr>
        <w:t>n</w:t>
      </w:r>
      <w:r w:rsidR="00881892">
        <w:rPr>
          <w:rFonts w:ascii="Arial" w:eastAsia="Arial" w:hAnsi="Arial" w:cs="Arial"/>
          <w:bCs/>
          <w:sz w:val="20"/>
          <w:szCs w:val="20"/>
        </w:rPr>
        <w:t xml:space="preserve"> por</w:t>
      </w:r>
      <w:r>
        <w:rPr>
          <w:rFonts w:ascii="Arial" w:eastAsia="Arial" w:hAnsi="Arial" w:cs="Arial"/>
          <w:bCs/>
          <w:sz w:val="20"/>
          <w:szCs w:val="20"/>
        </w:rPr>
        <w:t xml:space="preserve"> mantener a sus equipos, mientras que </w:t>
      </w:r>
      <w:r w:rsidR="007147B2">
        <w:rPr>
          <w:rFonts w:ascii="Arial" w:eastAsia="Arial" w:hAnsi="Arial" w:cs="Arial"/>
          <w:bCs/>
          <w:sz w:val="20"/>
          <w:szCs w:val="20"/>
        </w:rPr>
        <w:t>un</w:t>
      </w:r>
      <w:r>
        <w:rPr>
          <w:rFonts w:ascii="Arial" w:eastAsia="Arial" w:hAnsi="Arial" w:cs="Arial"/>
          <w:bCs/>
          <w:sz w:val="20"/>
          <w:szCs w:val="20"/>
        </w:rPr>
        <w:t xml:space="preserve"> 35% </w:t>
      </w:r>
      <w:r w:rsidR="007147B2">
        <w:rPr>
          <w:rFonts w:ascii="Arial" w:eastAsia="Arial" w:hAnsi="Arial" w:cs="Arial"/>
          <w:bCs/>
          <w:sz w:val="20"/>
          <w:szCs w:val="20"/>
        </w:rPr>
        <w:t>prevé</w:t>
      </w:r>
      <w:r>
        <w:rPr>
          <w:rFonts w:ascii="Arial" w:eastAsia="Arial" w:hAnsi="Arial" w:cs="Arial"/>
          <w:bCs/>
          <w:sz w:val="20"/>
          <w:szCs w:val="20"/>
        </w:rPr>
        <w:t xml:space="preserve"> aumentar </w:t>
      </w:r>
      <w:r w:rsidR="00A358E6">
        <w:rPr>
          <w:rFonts w:ascii="Arial" w:eastAsia="Arial" w:hAnsi="Arial" w:cs="Arial"/>
          <w:bCs/>
          <w:sz w:val="20"/>
          <w:szCs w:val="20"/>
        </w:rPr>
        <w:t>las contrataciones</w:t>
      </w:r>
      <w:r>
        <w:rPr>
          <w:rFonts w:ascii="Arial" w:eastAsia="Arial" w:hAnsi="Arial" w:cs="Arial"/>
          <w:bCs/>
          <w:sz w:val="20"/>
          <w:szCs w:val="20"/>
        </w:rPr>
        <w:t xml:space="preserve"> y </w:t>
      </w:r>
      <w:r w:rsidR="00151F63">
        <w:rPr>
          <w:rFonts w:ascii="Arial" w:eastAsia="Arial" w:hAnsi="Arial" w:cs="Arial"/>
          <w:bCs/>
          <w:sz w:val="20"/>
          <w:szCs w:val="20"/>
        </w:rPr>
        <w:t>solo un</w:t>
      </w:r>
      <w:r>
        <w:rPr>
          <w:rFonts w:ascii="Arial" w:eastAsia="Arial" w:hAnsi="Arial" w:cs="Arial"/>
          <w:bCs/>
          <w:sz w:val="20"/>
          <w:szCs w:val="20"/>
        </w:rPr>
        <w:t xml:space="preserve"> 22% anticipa </w:t>
      </w:r>
      <w:r w:rsidR="007147B2">
        <w:rPr>
          <w:rFonts w:ascii="Arial" w:eastAsia="Arial" w:hAnsi="Arial" w:cs="Arial"/>
          <w:bCs/>
          <w:sz w:val="20"/>
          <w:szCs w:val="20"/>
        </w:rPr>
        <w:t xml:space="preserve">reducciones de </w:t>
      </w:r>
      <w:r>
        <w:rPr>
          <w:rFonts w:ascii="Arial" w:eastAsia="Arial" w:hAnsi="Arial" w:cs="Arial"/>
          <w:bCs/>
          <w:sz w:val="20"/>
          <w:szCs w:val="20"/>
        </w:rPr>
        <w:t xml:space="preserve">plantilla. </w:t>
      </w:r>
      <w:r w:rsidR="007147B2">
        <w:rPr>
          <w:rFonts w:ascii="Arial" w:eastAsia="Arial" w:hAnsi="Arial" w:cs="Arial"/>
          <w:bCs/>
          <w:sz w:val="20"/>
          <w:szCs w:val="20"/>
        </w:rPr>
        <w:t>Estos datos reflejan un contexto en el que las organizaciones actúan con mayor prudencia ante la incertidumbre geopolítica, ajustando sus decisiones de contratación sin renunciar al crecimiento.</w:t>
      </w:r>
    </w:p>
    <w:p w14:paraId="1AEBB060" w14:textId="0E0E57AB" w:rsidR="00A358E6" w:rsidRPr="00890CD3" w:rsidRDefault="007147B2" w:rsidP="00A358E6">
      <w:pPr>
        <w:spacing w:before="120" w:line="288" w:lineRule="auto"/>
        <w:jc w:val="both"/>
        <w:rPr>
          <w:rFonts w:ascii="Arial" w:eastAsia="Arial" w:hAnsi="Arial" w:cs="Arial"/>
          <w:b/>
          <w:bCs/>
          <w:sz w:val="20"/>
          <w:szCs w:val="20"/>
        </w:rPr>
      </w:pPr>
      <w:r>
        <w:rPr>
          <w:rFonts w:ascii="Arial" w:eastAsia="Arial" w:hAnsi="Arial" w:cs="Arial"/>
          <w:b/>
          <w:bCs/>
          <w:sz w:val="20"/>
          <w:szCs w:val="20"/>
        </w:rPr>
        <w:t>T</w:t>
      </w:r>
      <w:r w:rsidR="00A358E6">
        <w:rPr>
          <w:rFonts w:ascii="Arial" w:eastAsia="Arial" w:hAnsi="Arial" w:cs="Arial"/>
          <w:b/>
          <w:bCs/>
          <w:sz w:val="20"/>
          <w:szCs w:val="20"/>
        </w:rPr>
        <w:t xml:space="preserve">elecomunicaciones, medios y entretenimiento </w:t>
      </w:r>
      <w:r w:rsidR="00A358E6" w:rsidRPr="00890CD3">
        <w:rPr>
          <w:rFonts w:ascii="Arial" w:eastAsia="Arial" w:hAnsi="Arial" w:cs="Arial"/>
          <w:b/>
          <w:bCs/>
          <w:sz w:val="20"/>
          <w:szCs w:val="20"/>
        </w:rPr>
        <w:t xml:space="preserve">lidera </w:t>
      </w:r>
      <w:r w:rsidR="00A358E6">
        <w:rPr>
          <w:rFonts w:ascii="Arial" w:eastAsia="Arial" w:hAnsi="Arial" w:cs="Arial"/>
          <w:b/>
          <w:bCs/>
          <w:sz w:val="20"/>
          <w:szCs w:val="20"/>
        </w:rPr>
        <w:t xml:space="preserve">las previsiones sectoriales </w:t>
      </w:r>
    </w:p>
    <w:p w14:paraId="1A708CFC" w14:textId="1F8D62A7" w:rsidR="00A358E6" w:rsidRDefault="00A358E6" w:rsidP="00A328F3">
      <w:pPr>
        <w:spacing w:before="120" w:line="288" w:lineRule="auto"/>
        <w:jc w:val="both"/>
        <w:rPr>
          <w:rFonts w:ascii="Arial" w:eastAsia="Arial" w:hAnsi="Arial" w:cs="Arial"/>
          <w:sz w:val="20"/>
          <w:szCs w:val="20"/>
        </w:rPr>
      </w:pPr>
      <w:r>
        <w:rPr>
          <w:rFonts w:ascii="Arial" w:eastAsia="Arial" w:hAnsi="Arial" w:cs="Arial"/>
          <w:sz w:val="20"/>
          <w:szCs w:val="20"/>
        </w:rPr>
        <w:t>Por sectores,</w:t>
      </w:r>
      <w:r w:rsidR="005F5818">
        <w:rPr>
          <w:rFonts w:ascii="Arial" w:eastAsia="Arial" w:hAnsi="Arial" w:cs="Arial"/>
          <w:sz w:val="20"/>
          <w:szCs w:val="20"/>
        </w:rPr>
        <w:t xml:space="preserve"> </w:t>
      </w:r>
      <w:r w:rsidR="0074055B" w:rsidRPr="007147B2">
        <w:rPr>
          <w:rFonts w:ascii="Arial" w:eastAsia="Arial" w:hAnsi="Arial" w:cs="Arial"/>
          <w:sz w:val="20"/>
          <w:szCs w:val="20"/>
        </w:rPr>
        <w:t>T</w:t>
      </w:r>
      <w:r w:rsidR="005F5818" w:rsidRPr="007147B2">
        <w:rPr>
          <w:rFonts w:ascii="Arial" w:eastAsia="Arial" w:hAnsi="Arial" w:cs="Arial"/>
          <w:sz w:val="20"/>
          <w:szCs w:val="20"/>
        </w:rPr>
        <w:t xml:space="preserve">elecomunicaciones, </w:t>
      </w:r>
      <w:r w:rsidR="00151F63" w:rsidRPr="007147B2">
        <w:rPr>
          <w:rFonts w:ascii="Arial" w:eastAsia="Arial" w:hAnsi="Arial" w:cs="Arial"/>
          <w:sz w:val="20"/>
          <w:szCs w:val="20"/>
        </w:rPr>
        <w:t>M</w:t>
      </w:r>
      <w:r w:rsidR="005F5818" w:rsidRPr="007147B2">
        <w:rPr>
          <w:rFonts w:ascii="Arial" w:eastAsia="Arial" w:hAnsi="Arial" w:cs="Arial"/>
          <w:sz w:val="20"/>
          <w:szCs w:val="20"/>
        </w:rPr>
        <w:t xml:space="preserve">edios y </w:t>
      </w:r>
      <w:r w:rsidR="00151F63" w:rsidRPr="007147B2">
        <w:rPr>
          <w:rFonts w:ascii="Arial" w:eastAsia="Arial" w:hAnsi="Arial" w:cs="Arial"/>
          <w:sz w:val="20"/>
          <w:szCs w:val="20"/>
        </w:rPr>
        <w:t>E</w:t>
      </w:r>
      <w:r w:rsidR="005F5818" w:rsidRPr="007147B2">
        <w:rPr>
          <w:rFonts w:ascii="Arial" w:eastAsia="Arial" w:hAnsi="Arial" w:cs="Arial"/>
          <w:sz w:val="20"/>
          <w:szCs w:val="20"/>
        </w:rPr>
        <w:t>ntretenimiento</w:t>
      </w:r>
      <w:r w:rsidR="005F5818">
        <w:rPr>
          <w:rFonts w:ascii="Arial" w:eastAsia="Arial" w:hAnsi="Arial" w:cs="Arial"/>
          <w:sz w:val="20"/>
          <w:szCs w:val="20"/>
        </w:rPr>
        <w:t xml:space="preserve"> registra las mejores </w:t>
      </w:r>
      <w:r w:rsidR="007147B2">
        <w:rPr>
          <w:rFonts w:ascii="Arial" w:eastAsia="Arial" w:hAnsi="Arial" w:cs="Arial"/>
          <w:sz w:val="20"/>
          <w:szCs w:val="20"/>
        </w:rPr>
        <w:t xml:space="preserve">perspectivas de contratación </w:t>
      </w:r>
      <w:r w:rsidR="005F5818">
        <w:rPr>
          <w:rFonts w:ascii="Arial" w:eastAsia="Arial" w:hAnsi="Arial" w:cs="Arial"/>
          <w:sz w:val="20"/>
          <w:szCs w:val="20"/>
        </w:rPr>
        <w:t xml:space="preserve">en España, con una expectativa neta de empleo del 33% y una mejora de 9 puntos respecto al trimestre anterior. </w:t>
      </w:r>
    </w:p>
    <w:p w14:paraId="12CA46A8" w14:textId="6DB0ED0E" w:rsidR="007147B2" w:rsidRDefault="007147B2" w:rsidP="00A328F3">
      <w:pPr>
        <w:spacing w:before="120" w:line="288" w:lineRule="auto"/>
        <w:jc w:val="both"/>
        <w:rPr>
          <w:rFonts w:ascii="Arial" w:eastAsia="Arial" w:hAnsi="Arial" w:cs="Arial"/>
          <w:sz w:val="20"/>
          <w:szCs w:val="20"/>
        </w:rPr>
      </w:pPr>
      <w:r>
        <w:rPr>
          <w:rFonts w:ascii="Arial" w:eastAsia="Arial" w:hAnsi="Arial" w:cs="Arial"/>
          <w:sz w:val="20"/>
          <w:szCs w:val="20"/>
        </w:rPr>
        <w:t>E</w:t>
      </w:r>
      <w:r w:rsidR="0074055B">
        <w:rPr>
          <w:rFonts w:ascii="Arial" w:eastAsia="Arial" w:hAnsi="Arial" w:cs="Arial"/>
          <w:sz w:val="20"/>
          <w:szCs w:val="20"/>
        </w:rPr>
        <w:t xml:space="preserve">l resto de </w:t>
      </w:r>
      <w:r>
        <w:rPr>
          <w:rFonts w:ascii="Arial" w:eastAsia="Arial" w:hAnsi="Arial" w:cs="Arial"/>
          <w:sz w:val="20"/>
          <w:szCs w:val="20"/>
        </w:rPr>
        <w:t>los sectores</w:t>
      </w:r>
      <w:r w:rsidR="0074055B">
        <w:rPr>
          <w:rFonts w:ascii="Arial" w:eastAsia="Arial" w:hAnsi="Arial" w:cs="Arial"/>
          <w:sz w:val="20"/>
          <w:szCs w:val="20"/>
        </w:rPr>
        <w:t xml:space="preserve"> </w:t>
      </w:r>
      <w:r>
        <w:rPr>
          <w:rFonts w:ascii="Arial" w:eastAsia="Arial" w:hAnsi="Arial" w:cs="Arial"/>
          <w:sz w:val="20"/>
          <w:szCs w:val="20"/>
        </w:rPr>
        <w:t xml:space="preserve">se sitúan </w:t>
      </w:r>
      <w:r w:rsidR="0074055B">
        <w:rPr>
          <w:rFonts w:ascii="Arial" w:eastAsia="Arial" w:hAnsi="Arial" w:cs="Arial"/>
          <w:sz w:val="20"/>
          <w:szCs w:val="20"/>
        </w:rPr>
        <w:t>por debajo</w:t>
      </w:r>
      <w:r>
        <w:rPr>
          <w:rFonts w:ascii="Arial" w:eastAsia="Arial" w:hAnsi="Arial" w:cs="Arial"/>
          <w:sz w:val="20"/>
          <w:szCs w:val="20"/>
        </w:rPr>
        <w:t xml:space="preserve"> en previsiones de contratación respecto al segundo trimestre del año,</w:t>
      </w:r>
      <w:r w:rsidR="0074055B">
        <w:rPr>
          <w:rFonts w:ascii="Arial" w:eastAsia="Arial" w:hAnsi="Arial" w:cs="Arial"/>
          <w:sz w:val="20"/>
          <w:szCs w:val="20"/>
        </w:rPr>
        <w:t xml:space="preserve"> </w:t>
      </w:r>
      <w:r>
        <w:rPr>
          <w:rFonts w:ascii="Arial" w:eastAsia="Arial" w:hAnsi="Arial" w:cs="Arial"/>
          <w:sz w:val="20"/>
          <w:szCs w:val="20"/>
        </w:rPr>
        <w:t xml:space="preserve">aunque con </w:t>
      </w:r>
      <w:r w:rsidR="0074055B">
        <w:rPr>
          <w:rFonts w:ascii="Arial" w:eastAsia="Arial" w:hAnsi="Arial" w:cs="Arial"/>
          <w:sz w:val="20"/>
          <w:szCs w:val="20"/>
        </w:rPr>
        <w:t xml:space="preserve">perspectivas favorables. </w:t>
      </w:r>
      <w:r w:rsidR="00791D7D" w:rsidRPr="007147B2">
        <w:rPr>
          <w:rFonts w:ascii="Arial" w:eastAsia="Arial" w:hAnsi="Arial" w:cs="Arial"/>
          <w:b/>
          <w:bCs/>
          <w:sz w:val="20"/>
          <w:szCs w:val="20"/>
        </w:rPr>
        <w:t>E</w:t>
      </w:r>
      <w:r w:rsidR="005F5818" w:rsidRPr="007147B2">
        <w:rPr>
          <w:rFonts w:ascii="Arial" w:eastAsia="Arial" w:hAnsi="Arial" w:cs="Arial"/>
          <w:b/>
          <w:bCs/>
          <w:sz w:val="20"/>
          <w:szCs w:val="20"/>
        </w:rPr>
        <w:t xml:space="preserve">nergía y </w:t>
      </w:r>
      <w:r w:rsidR="005B0836" w:rsidRPr="007147B2">
        <w:rPr>
          <w:rFonts w:ascii="Arial" w:eastAsia="Arial" w:hAnsi="Arial" w:cs="Arial"/>
          <w:b/>
          <w:bCs/>
          <w:sz w:val="20"/>
          <w:szCs w:val="20"/>
        </w:rPr>
        <w:t>S</w:t>
      </w:r>
      <w:r w:rsidR="005F5818" w:rsidRPr="007147B2">
        <w:rPr>
          <w:rFonts w:ascii="Arial" w:eastAsia="Arial" w:hAnsi="Arial" w:cs="Arial"/>
          <w:b/>
          <w:bCs/>
          <w:sz w:val="20"/>
          <w:szCs w:val="20"/>
        </w:rPr>
        <w:t xml:space="preserve">uministros y </w:t>
      </w:r>
      <w:r w:rsidR="00791D7D" w:rsidRPr="007147B2">
        <w:rPr>
          <w:rFonts w:ascii="Arial" w:eastAsia="Arial" w:hAnsi="Arial" w:cs="Arial"/>
          <w:b/>
          <w:bCs/>
          <w:sz w:val="20"/>
          <w:szCs w:val="20"/>
        </w:rPr>
        <w:t>T</w:t>
      </w:r>
      <w:r w:rsidR="005F5818" w:rsidRPr="007147B2">
        <w:rPr>
          <w:rFonts w:ascii="Arial" w:eastAsia="Arial" w:hAnsi="Arial" w:cs="Arial"/>
          <w:b/>
          <w:bCs/>
          <w:sz w:val="20"/>
          <w:szCs w:val="20"/>
        </w:rPr>
        <w:t>ecnología</w:t>
      </w:r>
      <w:r w:rsidR="005F5818" w:rsidRPr="007147B2">
        <w:rPr>
          <w:rFonts w:ascii="Arial" w:eastAsia="Arial" w:hAnsi="Arial" w:cs="Arial"/>
          <w:sz w:val="20"/>
          <w:szCs w:val="20"/>
        </w:rPr>
        <w:t>,</w:t>
      </w:r>
      <w:r w:rsidR="005F5818">
        <w:rPr>
          <w:rFonts w:ascii="Arial" w:eastAsia="Arial" w:hAnsi="Arial" w:cs="Arial"/>
          <w:sz w:val="20"/>
          <w:szCs w:val="20"/>
        </w:rPr>
        <w:t xml:space="preserve"> </w:t>
      </w:r>
      <w:r>
        <w:rPr>
          <w:rFonts w:ascii="Arial" w:eastAsia="Arial" w:hAnsi="Arial" w:cs="Arial"/>
          <w:sz w:val="20"/>
          <w:szCs w:val="20"/>
        </w:rPr>
        <w:t>alcanzan una previsión del 20%, impulsados por la demanda de perfiles especializados y la transformación de las organizaciones en ámbitos clave como la sostenibilidad o la digitalización.</w:t>
      </w:r>
    </w:p>
    <w:p w14:paraId="2CD7B560" w14:textId="596D5DDF" w:rsidR="003B0C6F" w:rsidRDefault="003B0C6F" w:rsidP="00A328F3">
      <w:pPr>
        <w:spacing w:before="120" w:line="288" w:lineRule="auto"/>
        <w:jc w:val="both"/>
        <w:rPr>
          <w:rFonts w:ascii="Arial" w:eastAsia="Arial" w:hAnsi="Arial" w:cs="Arial"/>
          <w:sz w:val="20"/>
          <w:szCs w:val="20"/>
        </w:rPr>
      </w:pPr>
      <w:r>
        <w:rPr>
          <w:rFonts w:ascii="Arial" w:eastAsia="Arial" w:hAnsi="Arial" w:cs="Arial"/>
          <w:sz w:val="20"/>
          <w:szCs w:val="20"/>
        </w:rPr>
        <w:lastRenderedPageBreak/>
        <w:t>El sector de</w:t>
      </w:r>
      <w:r w:rsidR="007147B2">
        <w:rPr>
          <w:rFonts w:ascii="Arial" w:eastAsia="Arial" w:hAnsi="Arial" w:cs="Arial"/>
          <w:sz w:val="20"/>
          <w:szCs w:val="20"/>
        </w:rPr>
        <w:t xml:space="preserve"> la</w:t>
      </w:r>
      <w:r>
        <w:rPr>
          <w:rFonts w:ascii="Arial" w:eastAsia="Arial" w:hAnsi="Arial" w:cs="Arial"/>
          <w:sz w:val="20"/>
          <w:szCs w:val="20"/>
        </w:rPr>
        <w:t xml:space="preserve"> </w:t>
      </w:r>
      <w:r w:rsidRPr="007147B2">
        <w:rPr>
          <w:rFonts w:ascii="Arial" w:eastAsia="Arial" w:hAnsi="Arial" w:cs="Arial"/>
          <w:b/>
          <w:bCs/>
          <w:sz w:val="20"/>
          <w:szCs w:val="20"/>
        </w:rPr>
        <w:t>Hostelería</w:t>
      </w:r>
      <w:r>
        <w:rPr>
          <w:rFonts w:ascii="Arial" w:eastAsia="Arial" w:hAnsi="Arial" w:cs="Arial"/>
          <w:sz w:val="20"/>
          <w:szCs w:val="20"/>
        </w:rPr>
        <w:t xml:space="preserve"> </w:t>
      </w:r>
      <w:r w:rsidR="007147B2">
        <w:rPr>
          <w:rFonts w:ascii="Arial" w:eastAsia="Arial" w:hAnsi="Arial" w:cs="Arial"/>
          <w:sz w:val="20"/>
          <w:szCs w:val="20"/>
        </w:rPr>
        <w:t xml:space="preserve">se sitúa en una previsión neta del </w:t>
      </w:r>
      <w:r>
        <w:rPr>
          <w:rFonts w:ascii="Arial" w:eastAsia="Arial" w:hAnsi="Arial" w:cs="Arial"/>
          <w:sz w:val="20"/>
          <w:szCs w:val="20"/>
        </w:rPr>
        <w:t>18% en un trimestre en el que</w:t>
      </w:r>
      <w:r w:rsidR="007147B2">
        <w:rPr>
          <w:rFonts w:ascii="Arial" w:eastAsia="Arial" w:hAnsi="Arial" w:cs="Arial"/>
          <w:sz w:val="20"/>
          <w:szCs w:val="20"/>
        </w:rPr>
        <w:t>,</w:t>
      </w:r>
      <w:r>
        <w:rPr>
          <w:rFonts w:ascii="Arial" w:eastAsia="Arial" w:hAnsi="Arial" w:cs="Arial"/>
          <w:sz w:val="20"/>
          <w:szCs w:val="20"/>
        </w:rPr>
        <w:t xml:space="preserve"> parte de las contrataciones vinculadas a la campaña de verano</w:t>
      </w:r>
      <w:r w:rsidR="007147B2">
        <w:rPr>
          <w:rFonts w:ascii="Arial" w:eastAsia="Arial" w:hAnsi="Arial" w:cs="Arial"/>
          <w:sz w:val="20"/>
          <w:szCs w:val="20"/>
        </w:rPr>
        <w:t>,</w:t>
      </w:r>
      <w:r>
        <w:rPr>
          <w:rFonts w:ascii="Arial" w:eastAsia="Arial" w:hAnsi="Arial" w:cs="Arial"/>
          <w:sz w:val="20"/>
          <w:szCs w:val="20"/>
        </w:rPr>
        <w:t xml:space="preserve"> se habían anticipado en meses anteriores. </w:t>
      </w:r>
      <w:r w:rsidR="00874E5B">
        <w:rPr>
          <w:rFonts w:ascii="Arial" w:eastAsia="Arial" w:hAnsi="Arial" w:cs="Arial"/>
          <w:sz w:val="20"/>
          <w:szCs w:val="20"/>
        </w:rPr>
        <w:t>L</w:t>
      </w:r>
      <w:r w:rsidR="002A1C04">
        <w:rPr>
          <w:rFonts w:ascii="Arial" w:eastAsia="Arial" w:hAnsi="Arial" w:cs="Arial"/>
          <w:sz w:val="20"/>
          <w:szCs w:val="20"/>
        </w:rPr>
        <w:t>e sigue</w:t>
      </w:r>
      <w:r w:rsidR="00874E5B">
        <w:rPr>
          <w:rFonts w:ascii="Arial" w:eastAsia="Arial" w:hAnsi="Arial" w:cs="Arial"/>
          <w:sz w:val="20"/>
          <w:szCs w:val="20"/>
        </w:rPr>
        <w:t>n</w:t>
      </w:r>
      <w:r w:rsidR="002A1C04">
        <w:rPr>
          <w:rFonts w:ascii="Arial" w:eastAsia="Arial" w:hAnsi="Arial" w:cs="Arial"/>
          <w:sz w:val="20"/>
          <w:szCs w:val="20"/>
        </w:rPr>
        <w:t xml:space="preserve"> </w:t>
      </w:r>
      <w:r w:rsidR="005E249D" w:rsidRPr="00874E5B">
        <w:rPr>
          <w:rFonts w:ascii="Arial" w:eastAsia="Arial" w:hAnsi="Arial" w:cs="Arial"/>
          <w:b/>
          <w:bCs/>
          <w:sz w:val="20"/>
          <w:szCs w:val="20"/>
        </w:rPr>
        <w:t xml:space="preserve">Finanzas y </w:t>
      </w:r>
      <w:r w:rsidR="00151F63" w:rsidRPr="00874E5B">
        <w:rPr>
          <w:rFonts w:ascii="Arial" w:eastAsia="Arial" w:hAnsi="Arial" w:cs="Arial"/>
          <w:b/>
          <w:bCs/>
          <w:sz w:val="20"/>
          <w:szCs w:val="20"/>
        </w:rPr>
        <w:t>S</w:t>
      </w:r>
      <w:r w:rsidR="005E249D" w:rsidRPr="00874E5B">
        <w:rPr>
          <w:rFonts w:ascii="Arial" w:eastAsia="Arial" w:hAnsi="Arial" w:cs="Arial"/>
          <w:b/>
          <w:bCs/>
          <w:sz w:val="20"/>
          <w:szCs w:val="20"/>
        </w:rPr>
        <w:t>eguros</w:t>
      </w:r>
      <w:r w:rsidR="005E249D">
        <w:rPr>
          <w:rFonts w:ascii="Arial" w:eastAsia="Arial" w:hAnsi="Arial" w:cs="Arial"/>
          <w:sz w:val="20"/>
          <w:szCs w:val="20"/>
        </w:rPr>
        <w:t xml:space="preserve"> (16%), </w:t>
      </w:r>
      <w:r w:rsidR="005E249D" w:rsidRPr="00874E5B">
        <w:rPr>
          <w:rFonts w:ascii="Arial" w:eastAsia="Arial" w:hAnsi="Arial" w:cs="Arial"/>
          <w:b/>
          <w:bCs/>
          <w:sz w:val="20"/>
          <w:szCs w:val="20"/>
        </w:rPr>
        <w:t xml:space="preserve">Construcción e </w:t>
      </w:r>
      <w:r w:rsidR="00151F63" w:rsidRPr="00874E5B">
        <w:rPr>
          <w:rFonts w:ascii="Arial" w:eastAsia="Arial" w:hAnsi="Arial" w:cs="Arial"/>
          <w:b/>
          <w:bCs/>
          <w:sz w:val="20"/>
          <w:szCs w:val="20"/>
        </w:rPr>
        <w:t>I</w:t>
      </w:r>
      <w:r w:rsidR="005E249D" w:rsidRPr="00874E5B">
        <w:rPr>
          <w:rFonts w:ascii="Arial" w:eastAsia="Arial" w:hAnsi="Arial" w:cs="Arial"/>
          <w:b/>
          <w:bCs/>
          <w:sz w:val="20"/>
          <w:szCs w:val="20"/>
        </w:rPr>
        <w:t>nmobiliario</w:t>
      </w:r>
      <w:r w:rsidR="005E249D">
        <w:rPr>
          <w:rFonts w:ascii="Arial" w:eastAsia="Arial" w:hAnsi="Arial" w:cs="Arial"/>
          <w:sz w:val="20"/>
          <w:szCs w:val="20"/>
        </w:rPr>
        <w:t xml:space="preserve"> (15%)</w:t>
      </w:r>
      <w:r w:rsidR="005B0836">
        <w:rPr>
          <w:rFonts w:ascii="Arial" w:eastAsia="Arial" w:hAnsi="Arial" w:cs="Arial"/>
          <w:sz w:val="20"/>
          <w:szCs w:val="20"/>
        </w:rPr>
        <w:t xml:space="preserve"> y</w:t>
      </w:r>
      <w:r w:rsidR="005E249D">
        <w:rPr>
          <w:rFonts w:ascii="Arial" w:eastAsia="Arial" w:hAnsi="Arial" w:cs="Arial"/>
          <w:sz w:val="20"/>
          <w:szCs w:val="20"/>
        </w:rPr>
        <w:t xml:space="preserve"> </w:t>
      </w:r>
      <w:r w:rsidRPr="00874E5B">
        <w:rPr>
          <w:rFonts w:ascii="Arial" w:eastAsia="Arial" w:hAnsi="Arial" w:cs="Arial"/>
          <w:b/>
          <w:bCs/>
          <w:sz w:val="20"/>
          <w:szCs w:val="20"/>
        </w:rPr>
        <w:t xml:space="preserve">Logística y </w:t>
      </w:r>
      <w:r w:rsidR="00151F63" w:rsidRPr="00874E5B">
        <w:rPr>
          <w:rFonts w:ascii="Arial" w:eastAsia="Arial" w:hAnsi="Arial" w:cs="Arial"/>
          <w:b/>
          <w:bCs/>
          <w:sz w:val="20"/>
          <w:szCs w:val="20"/>
        </w:rPr>
        <w:t>C</w:t>
      </w:r>
      <w:r w:rsidRPr="00874E5B">
        <w:rPr>
          <w:rFonts w:ascii="Arial" w:eastAsia="Arial" w:hAnsi="Arial" w:cs="Arial"/>
          <w:b/>
          <w:bCs/>
          <w:sz w:val="20"/>
          <w:szCs w:val="20"/>
        </w:rPr>
        <w:t>omercio</w:t>
      </w:r>
      <w:r w:rsidR="005E249D">
        <w:rPr>
          <w:rFonts w:ascii="Arial" w:eastAsia="Arial" w:hAnsi="Arial" w:cs="Arial"/>
          <w:sz w:val="20"/>
          <w:szCs w:val="20"/>
        </w:rPr>
        <w:t xml:space="preserve"> (14%)</w:t>
      </w:r>
      <w:r w:rsidR="00874E5B">
        <w:rPr>
          <w:rFonts w:ascii="Arial" w:eastAsia="Arial" w:hAnsi="Arial" w:cs="Arial"/>
          <w:sz w:val="20"/>
          <w:szCs w:val="20"/>
        </w:rPr>
        <w:t>; este último</w:t>
      </w:r>
      <w:r w:rsidR="005E249D">
        <w:rPr>
          <w:rFonts w:ascii="Arial" w:eastAsia="Arial" w:hAnsi="Arial" w:cs="Arial"/>
          <w:sz w:val="20"/>
          <w:szCs w:val="20"/>
        </w:rPr>
        <w:t xml:space="preserve"> </w:t>
      </w:r>
      <w:r w:rsidR="00874E5B">
        <w:rPr>
          <w:rFonts w:ascii="Arial" w:eastAsia="Arial" w:hAnsi="Arial" w:cs="Arial"/>
          <w:sz w:val="20"/>
          <w:szCs w:val="20"/>
        </w:rPr>
        <w:t xml:space="preserve">desempeña </w:t>
      </w:r>
      <w:r>
        <w:rPr>
          <w:rFonts w:ascii="Arial" w:eastAsia="Arial" w:hAnsi="Arial" w:cs="Arial"/>
          <w:sz w:val="20"/>
          <w:szCs w:val="20"/>
        </w:rPr>
        <w:t>un papel clave en el funcionamiento de las cadenas de suministro y actividades vinculadas al consumo</w:t>
      </w:r>
      <w:r w:rsidR="00151F63">
        <w:rPr>
          <w:rFonts w:ascii="Arial" w:eastAsia="Arial" w:hAnsi="Arial" w:cs="Arial"/>
          <w:sz w:val="20"/>
          <w:szCs w:val="20"/>
        </w:rPr>
        <w:t xml:space="preserve">, </w:t>
      </w:r>
      <w:r w:rsidR="002A1C04">
        <w:rPr>
          <w:rFonts w:ascii="Arial" w:eastAsia="Arial" w:hAnsi="Arial" w:cs="Arial"/>
          <w:sz w:val="20"/>
          <w:szCs w:val="20"/>
        </w:rPr>
        <w:t xml:space="preserve">pero baja 16 puntos respecto al </w:t>
      </w:r>
      <w:r w:rsidR="00874E5B">
        <w:rPr>
          <w:rFonts w:ascii="Arial" w:eastAsia="Arial" w:hAnsi="Arial" w:cs="Arial"/>
          <w:sz w:val="20"/>
          <w:szCs w:val="20"/>
        </w:rPr>
        <w:t>trimestre anterior</w:t>
      </w:r>
      <w:r w:rsidR="002A1C04">
        <w:rPr>
          <w:rFonts w:ascii="Arial" w:eastAsia="Arial" w:hAnsi="Arial" w:cs="Arial"/>
          <w:sz w:val="20"/>
          <w:szCs w:val="20"/>
        </w:rPr>
        <w:t>.</w:t>
      </w:r>
      <w:r w:rsidR="005E249D">
        <w:rPr>
          <w:rFonts w:ascii="Arial" w:eastAsia="Arial" w:hAnsi="Arial" w:cs="Arial"/>
          <w:sz w:val="20"/>
          <w:szCs w:val="20"/>
        </w:rPr>
        <w:t xml:space="preserve"> En la parte inferior se encuentra</w:t>
      </w:r>
      <w:r w:rsidR="00874E5B">
        <w:rPr>
          <w:rFonts w:ascii="Arial" w:eastAsia="Arial" w:hAnsi="Arial" w:cs="Arial"/>
          <w:sz w:val="20"/>
          <w:szCs w:val="20"/>
        </w:rPr>
        <w:t>n</w:t>
      </w:r>
      <w:r w:rsidR="005E249D">
        <w:rPr>
          <w:rFonts w:ascii="Arial" w:eastAsia="Arial" w:hAnsi="Arial" w:cs="Arial"/>
          <w:sz w:val="20"/>
          <w:szCs w:val="20"/>
        </w:rPr>
        <w:t xml:space="preserve"> </w:t>
      </w:r>
      <w:r w:rsidR="005E249D" w:rsidRPr="00874E5B">
        <w:rPr>
          <w:rFonts w:ascii="Arial" w:eastAsia="Arial" w:hAnsi="Arial" w:cs="Arial"/>
          <w:b/>
          <w:bCs/>
          <w:i/>
          <w:iCs/>
          <w:sz w:val="20"/>
          <w:szCs w:val="20"/>
        </w:rPr>
        <w:t xml:space="preserve">Servicios </w:t>
      </w:r>
      <w:r w:rsidR="002A1C04" w:rsidRPr="00874E5B">
        <w:rPr>
          <w:rFonts w:ascii="Arial" w:eastAsia="Arial" w:hAnsi="Arial" w:cs="Arial"/>
          <w:b/>
          <w:bCs/>
          <w:i/>
          <w:iCs/>
          <w:sz w:val="20"/>
          <w:szCs w:val="20"/>
        </w:rPr>
        <w:t>P</w:t>
      </w:r>
      <w:r w:rsidR="005E249D" w:rsidRPr="00874E5B">
        <w:rPr>
          <w:rFonts w:ascii="Arial" w:eastAsia="Arial" w:hAnsi="Arial" w:cs="Arial"/>
          <w:b/>
          <w:bCs/>
          <w:i/>
          <w:iCs/>
          <w:sz w:val="20"/>
          <w:szCs w:val="20"/>
        </w:rPr>
        <w:t xml:space="preserve">rofesionales, </w:t>
      </w:r>
      <w:r w:rsidR="002A1C04" w:rsidRPr="00874E5B">
        <w:rPr>
          <w:rFonts w:ascii="Arial" w:eastAsia="Arial" w:hAnsi="Arial" w:cs="Arial"/>
          <w:b/>
          <w:bCs/>
          <w:i/>
          <w:iCs/>
          <w:sz w:val="20"/>
          <w:szCs w:val="20"/>
        </w:rPr>
        <w:t>C</w:t>
      </w:r>
      <w:r w:rsidR="005E249D" w:rsidRPr="00874E5B">
        <w:rPr>
          <w:rFonts w:ascii="Arial" w:eastAsia="Arial" w:hAnsi="Arial" w:cs="Arial"/>
          <w:b/>
          <w:bCs/>
          <w:i/>
          <w:iCs/>
          <w:sz w:val="20"/>
          <w:szCs w:val="20"/>
        </w:rPr>
        <w:t xml:space="preserve">ientíficos y </w:t>
      </w:r>
      <w:r w:rsidR="002A1C04" w:rsidRPr="00874E5B">
        <w:rPr>
          <w:rFonts w:ascii="Arial" w:eastAsia="Arial" w:hAnsi="Arial" w:cs="Arial"/>
          <w:b/>
          <w:bCs/>
          <w:i/>
          <w:iCs/>
          <w:sz w:val="20"/>
          <w:szCs w:val="20"/>
        </w:rPr>
        <w:t>T</w:t>
      </w:r>
      <w:r w:rsidR="005E249D" w:rsidRPr="00874E5B">
        <w:rPr>
          <w:rFonts w:ascii="Arial" w:eastAsia="Arial" w:hAnsi="Arial" w:cs="Arial"/>
          <w:b/>
          <w:bCs/>
          <w:i/>
          <w:iCs/>
          <w:sz w:val="20"/>
          <w:szCs w:val="20"/>
        </w:rPr>
        <w:t>écnicos</w:t>
      </w:r>
      <w:r w:rsidR="005E249D">
        <w:rPr>
          <w:rFonts w:ascii="Arial" w:eastAsia="Arial" w:hAnsi="Arial" w:cs="Arial"/>
          <w:sz w:val="20"/>
          <w:szCs w:val="20"/>
        </w:rPr>
        <w:t xml:space="preserve"> (12%), </w:t>
      </w:r>
      <w:r w:rsidR="005E249D" w:rsidRPr="00874E5B">
        <w:rPr>
          <w:rFonts w:ascii="Arial" w:eastAsia="Arial" w:hAnsi="Arial" w:cs="Arial"/>
          <w:b/>
          <w:bCs/>
          <w:sz w:val="20"/>
          <w:szCs w:val="20"/>
        </w:rPr>
        <w:t xml:space="preserve">Sanidad y </w:t>
      </w:r>
      <w:r w:rsidR="002A1C04" w:rsidRPr="00874E5B">
        <w:rPr>
          <w:rFonts w:ascii="Arial" w:eastAsia="Arial" w:hAnsi="Arial" w:cs="Arial"/>
          <w:b/>
          <w:bCs/>
          <w:sz w:val="20"/>
          <w:szCs w:val="20"/>
        </w:rPr>
        <w:t>S</w:t>
      </w:r>
      <w:r w:rsidR="005E249D" w:rsidRPr="00874E5B">
        <w:rPr>
          <w:rFonts w:ascii="Arial" w:eastAsia="Arial" w:hAnsi="Arial" w:cs="Arial"/>
          <w:b/>
          <w:bCs/>
          <w:sz w:val="20"/>
          <w:szCs w:val="20"/>
        </w:rPr>
        <w:t xml:space="preserve">ector </w:t>
      </w:r>
      <w:r w:rsidR="002A1C04" w:rsidRPr="00874E5B">
        <w:rPr>
          <w:rFonts w:ascii="Arial" w:eastAsia="Arial" w:hAnsi="Arial" w:cs="Arial"/>
          <w:b/>
          <w:bCs/>
          <w:sz w:val="20"/>
          <w:szCs w:val="20"/>
        </w:rPr>
        <w:t>P</w:t>
      </w:r>
      <w:r w:rsidR="005E249D" w:rsidRPr="00874E5B">
        <w:rPr>
          <w:rFonts w:ascii="Arial" w:eastAsia="Arial" w:hAnsi="Arial" w:cs="Arial"/>
          <w:b/>
          <w:bCs/>
          <w:sz w:val="20"/>
          <w:szCs w:val="20"/>
        </w:rPr>
        <w:t>úblico</w:t>
      </w:r>
      <w:r w:rsidR="005E249D">
        <w:rPr>
          <w:rFonts w:ascii="Arial" w:eastAsia="Arial" w:hAnsi="Arial" w:cs="Arial"/>
          <w:sz w:val="20"/>
          <w:szCs w:val="20"/>
        </w:rPr>
        <w:t xml:space="preserve"> (11%) e </w:t>
      </w:r>
      <w:r w:rsidR="005E249D" w:rsidRPr="00874E5B">
        <w:rPr>
          <w:rFonts w:ascii="Arial" w:eastAsia="Arial" w:hAnsi="Arial" w:cs="Arial"/>
          <w:b/>
          <w:bCs/>
          <w:sz w:val="20"/>
          <w:szCs w:val="20"/>
        </w:rPr>
        <w:t>Industria</w:t>
      </w:r>
      <w:r w:rsidR="005E249D">
        <w:rPr>
          <w:rFonts w:ascii="Arial" w:eastAsia="Arial" w:hAnsi="Arial" w:cs="Arial"/>
          <w:sz w:val="20"/>
          <w:szCs w:val="20"/>
        </w:rPr>
        <w:t xml:space="preserve"> (10%)</w:t>
      </w:r>
      <w:r w:rsidR="00874E5B">
        <w:rPr>
          <w:rFonts w:ascii="Arial" w:eastAsia="Arial" w:hAnsi="Arial" w:cs="Arial"/>
          <w:sz w:val="20"/>
          <w:szCs w:val="20"/>
        </w:rPr>
        <w:t>,</w:t>
      </w:r>
      <w:r w:rsidR="002A1C04">
        <w:rPr>
          <w:rFonts w:ascii="Arial" w:eastAsia="Arial" w:hAnsi="Arial" w:cs="Arial"/>
          <w:sz w:val="20"/>
          <w:szCs w:val="20"/>
        </w:rPr>
        <w:t xml:space="preserve"> </w:t>
      </w:r>
      <w:r w:rsidR="00874E5B">
        <w:rPr>
          <w:rFonts w:ascii="Arial" w:eastAsia="Arial" w:hAnsi="Arial" w:cs="Arial"/>
          <w:sz w:val="20"/>
          <w:szCs w:val="20"/>
        </w:rPr>
        <w:t>siendo este último uno de los sectores que experimenta el mayor retroceso trimestral.</w:t>
      </w:r>
    </w:p>
    <w:p w14:paraId="44CDA9B7" w14:textId="77777777" w:rsidR="005E249D" w:rsidRDefault="005E249D" w:rsidP="00A328F3">
      <w:pPr>
        <w:spacing w:before="120" w:line="288" w:lineRule="auto"/>
        <w:jc w:val="both"/>
        <w:rPr>
          <w:rFonts w:ascii="Arial" w:eastAsia="Arial" w:hAnsi="Arial" w:cs="Arial"/>
          <w:bCs/>
          <w:sz w:val="20"/>
          <w:szCs w:val="20"/>
        </w:rPr>
      </w:pPr>
    </w:p>
    <w:p w14:paraId="48E0922D" w14:textId="6FE32916" w:rsidR="00A358E6" w:rsidRDefault="00414B22" w:rsidP="003B0C6F">
      <w:pPr>
        <w:spacing w:before="120" w:line="288" w:lineRule="auto"/>
        <w:jc w:val="center"/>
        <w:rPr>
          <w:rFonts w:ascii="Arial" w:eastAsia="Arial" w:hAnsi="Arial" w:cs="Arial"/>
          <w:bCs/>
          <w:sz w:val="20"/>
          <w:szCs w:val="20"/>
        </w:rPr>
      </w:pPr>
      <w:r w:rsidRPr="00414B22">
        <w:rPr>
          <w:rFonts w:ascii="Arial" w:eastAsia="Arial" w:hAnsi="Arial" w:cs="Arial"/>
          <w:bCs/>
          <w:noProof/>
          <w:sz w:val="20"/>
          <w:szCs w:val="20"/>
        </w:rPr>
        <w:drawing>
          <wp:inline distT="0" distB="0" distL="0" distR="0" wp14:anchorId="78AC225B" wp14:editId="11D2F9E8">
            <wp:extent cx="3234022" cy="2343379"/>
            <wp:effectExtent l="0" t="0" r="5080" b="0"/>
            <wp:docPr id="4669760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976016" name=""/>
                    <pic:cNvPicPr/>
                  </pic:nvPicPr>
                  <pic:blipFill>
                    <a:blip r:embed="rId9"/>
                    <a:stretch>
                      <a:fillRect/>
                    </a:stretch>
                  </pic:blipFill>
                  <pic:spPr>
                    <a:xfrm>
                      <a:off x="0" y="0"/>
                      <a:ext cx="3242976" cy="2349867"/>
                    </a:xfrm>
                    <a:prstGeom prst="rect">
                      <a:avLst/>
                    </a:prstGeom>
                  </pic:spPr>
                </pic:pic>
              </a:graphicData>
            </a:graphic>
          </wp:inline>
        </w:drawing>
      </w:r>
    </w:p>
    <w:p w14:paraId="59E3E62E" w14:textId="111C7DDB" w:rsidR="003B0C6F" w:rsidRPr="005E249D" w:rsidRDefault="005E249D" w:rsidP="005E249D">
      <w:pPr>
        <w:spacing w:before="120" w:line="288" w:lineRule="auto"/>
        <w:jc w:val="right"/>
        <w:rPr>
          <w:rFonts w:ascii="Arial" w:eastAsiaTheme="minorEastAsia" w:hAnsi="Arial" w:cs="Arial"/>
          <w:b/>
          <w:bCs/>
          <w:i/>
          <w:iCs/>
          <w:sz w:val="16"/>
          <w:szCs w:val="16"/>
          <w:lang w:eastAsia="zh-CN"/>
        </w:rPr>
      </w:pPr>
      <w:r w:rsidRPr="00032572">
        <w:rPr>
          <w:rFonts w:ascii="Arial" w:eastAsiaTheme="minorEastAsia" w:hAnsi="Arial" w:cs="Arial"/>
          <w:b/>
          <w:bCs/>
          <w:i/>
          <w:iCs/>
          <w:sz w:val="16"/>
          <w:szCs w:val="16"/>
          <w:lang w:eastAsia="zh-CN"/>
        </w:rPr>
        <w:t>Intención de contratación por sectores</w:t>
      </w:r>
    </w:p>
    <w:p w14:paraId="4DB874F9" w14:textId="77777777" w:rsidR="003B0C6F" w:rsidRDefault="003B0C6F" w:rsidP="00A328F3">
      <w:pPr>
        <w:spacing w:before="120" w:line="288" w:lineRule="auto"/>
        <w:jc w:val="both"/>
        <w:rPr>
          <w:rFonts w:ascii="Arial" w:eastAsia="Arial" w:hAnsi="Arial" w:cs="Arial"/>
          <w:bCs/>
          <w:sz w:val="20"/>
          <w:szCs w:val="20"/>
        </w:rPr>
      </w:pPr>
    </w:p>
    <w:p w14:paraId="34B99EED" w14:textId="34BC9478" w:rsidR="00C1143E" w:rsidRPr="00771088" w:rsidRDefault="005E249D" w:rsidP="00A328F3">
      <w:pPr>
        <w:spacing w:before="120" w:line="288" w:lineRule="auto"/>
        <w:jc w:val="both"/>
        <w:rPr>
          <w:rFonts w:ascii="Arial" w:eastAsia="Arial" w:hAnsi="Arial" w:cs="Arial"/>
          <w:b/>
          <w:sz w:val="20"/>
          <w:szCs w:val="20"/>
        </w:rPr>
      </w:pPr>
      <w:r w:rsidRPr="00771088">
        <w:rPr>
          <w:rFonts w:ascii="Arial" w:eastAsia="Arial" w:hAnsi="Arial" w:cs="Arial"/>
          <w:b/>
          <w:sz w:val="20"/>
          <w:szCs w:val="20"/>
        </w:rPr>
        <w:t>Las empresas medianas muestran las previsiones más optimistas</w:t>
      </w:r>
    </w:p>
    <w:p w14:paraId="2E4A0900" w14:textId="5E1C1A5D" w:rsidR="0075276A" w:rsidRDefault="00874E5B" w:rsidP="00A328F3">
      <w:pPr>
        <w:spacing w:before="120" w:line="288" w:lineRule="auto"/>
        <w:jc w:val="both"/>
        <w:rPr>
          <w:rFonts w:ascii="Arial" w:eastAsia="Arial" w:hAnsi="Arial" w:cs="Arial"/>
          <w:bCs/>
          <w:sz w:val="20"/>
          <w:szCs w:val="20"/>
        </w:rPr>
      </w:pPr>
      <w:r>
        <w:rPr>
          <w:rFonts w:ascii="Arial" w:eastAsia="Arial" w:hAnsi="Arial" w:cs="Arial"/>
          <w:bCs/>
          <w:sz w:val="20"/>
          <w:szCs w:val="20"/>
        </w:rPr>
        <w:t xml:space="preserve">Por tamaño de empresa, las organizaciones </w:t>
      </w:r>
      <w:r w:rsidR="0075276A">
        <w:rPr>
          <w:rFonts w:ascii="Arial" w:eastAsia="Arial" w:hAnsi="Arial" w:cs="Arial"/>
          <w:bCs/>
          <w:sz w:val="20"/>
          <w:szCs w:val="20"/>
        </w:rPr>
        <w:t xml:space="preserve">de entre </w:t>
      </w:r>
      <w:r w:rsidR="0075276A" w:rsidRPr="00874E5B">
        <w:rPr>
          <w:rFonts w:ascii="Arial" w:eastAsia="Arial" w:hAnsi="Arial" w:cs="Arial"/>
          <w:b/>
          <w:sz w:val="20"/>
          <w:szCs w:val="20"/>
        </w:rPr>
        <w:t>250 y 999 empleados</w:t>
      </w:r>
      <w:r w:rsidR="00F6289F">
        <w:rPr>
          <w:rFonts w:ascii="Arial" w:eastAsia="Arial" w:hAnsi="Arial" w:cs="Arial"/>
          <w:bCs/>
          <w:sz w:val="20"/>
          <w:szCs w:val="20"/>
        </w:rPr>
        <w:t xml:space="preserve"> se posicionan claramente por encima de la media </w:t>
      </w:r>
      <w:r w:rsidR="00143E43">
        <w:rPr>
          <w:rFonts w:ascii="Arial" w:eastAsia="Arial" w:hAnsi="Arial" w:cs="Arial"/>
          <w:bCs/>
          <w:sz w:val="20"/>
          <w:szCs w:val="20"/>
        </w:rPr>
        <w:t>nacional con</w:t>
      </w:r>
      <w:r w:rsidR="0075276A">
        <w:rPr>
          <w:rFonts w:ascii="Arial" w:eastAsia="Arial" w:hAnsi="Arial" w:cs="Arial"/>
          <w:bCs/>
          <w:sz w:val="20"/>
          <w:szCs w:val="20"/>
        </w:rPr>
        <w:t xml:space="preserve"> una expectativa del 19% que las</w:t>
      </w:r>
      <w:r w:rsidR="00F6289F">
        <w:rPr>
          <w:rFonts w:ascii="Arial" w:eastAsia="Arial" w:hAnsi="Arial" w:cs="Arial"/>
          <w:bCs/>
          <w:sz w:val="20"/>
          <w:szCs w:val="20"/>
        </w:rPr>
        <w:t xml:space="preserve"> hace líderes en las previsiones de </w:t>
      </w:r>
      <w:r>
        <w:rPr>
          <w:rFonts w:ascii="Arial" w:eastAsia="Arial" w:hAnsi="Arial" w:cs="Arial"/>
          <w:bCs/>
          <w:sz w:val="20"/>
          <w:szCs w:val="20"/>
        </w:rPr>
        <w:t>contratación</w:t>
      </w:r>
      <w:r w:rsidR="0075276A">
        <w:rPr>
          <w:rFonts w:ascii="Arial" w:eastAsia="Arial" w:hAnsi="Arial" w:cs="Arial"/>
          <w:bCs/>
          <w:sz w:val="20"/>
          <w:szCs w:val="20"/>
        </w:rPr>
        <w:t xml:space="preserve">. Tras ellas se encuentran las compañías de </w:t>
      </w:r>
      <w:r w:rsidR="0075276A" w:rsidRPr="00874E5B">
        <w:rPr>
          <w:rFonts w:ascii="Arial" w:eastAsia="Arial" w:hAnsi="Arial" w:cs="Arial"/>
          <w:b/>
          <w:sz w:val="20"/>
          <w:szCs w:val="20"/>
        </w:rPr>
        <w:t>más de 5.000 empleados</w:t>
      </w:r>
      <w:r w:rsidR="0075276A">
        <w:rPr>
          <w:rFonts w:ascii="Arial" w:eastAsia="Arial" w:hAnsi="Arial" w:cs="Arial"/>
          <w:bCs/>
          <w:sz w:val="20"/>
          <w:szCs w:val="20"/>
        </w:rPr>
        <w:t>, con una previsión del 15%</w:t>
      </w:r>
      <w:r w:rsidR="0019492D">
        <w:rPr>
          <w:rFonts w:ascii="Arial" w:eastAsia="Arial" w:hAnsi="Arial" w:cs="Arial"/>
          <w:bCs/>
          <w:sz w:val="20"/>
          <w:szCs w:val="20"/>
        </w:rPr>
        <w:t xml:space="preserve">; mientras que </w:t>
      </w:r>
      <w:r w:rsidR="0075276A">
        <w:rPr>
          <w:rFonts w:ascii="Arial" w:eastAsia="Arial" w:hAnsi="Arial" w:cs="Arial"/>
          <w:bCs/>
          <w:sz w:val="20"/>
          <w:szCs w:val="20"/>
        </w:rPr>
        <w:t xml:space="preserve">las empresas de entre </w:t>
      </w:r>
      <w:r w:rsidR="0075276A" w:rsidRPr="00874E5B">
        <w:rPr>
          <w:rFonts w:ascii="Arial" w:eastAsia="Arial" w:hAnsi="Arial" w:cs="Arial"/>
          <w:b/>
          <w:sz w:val="20"/>
          <w:szCs w:val="20"/>
        </w:rPr>
        <w:t>10 y 49 trabajadores</w:t>
      </w:r>
      <w:r w:rsidR="0075276A">
        <w:rPr>
          <w:rFonts w:ascii="Arial" w:eastAsia="Arial" w:hAnsi="Arial" w:cs="Arial"/>
          <w:bCs/>
          <w:sz w:val="20"/>
          <w:szCs w:val="20"/>
        </w:rPr>
        <w:t xml:space="preserve"> alcanzan el 14%.</w:t>
      </w:r>
    </w:p>
    <w:p w14:paraId="2AC481AB" w14:textId="6203ED2C" w:rsidR="0075276A" w:rsidRDefault="0075276A" w:rsidP="00A328F3">
      <w:pPr>
        <w:spacing w:before="120" w:line="288" w:lineRule="auto"/>
        <w:jc w:val="both"/>
        <w:rPr>
          <w:rFonts w:ascii="Arial" w:eastAsia="Arial" w:hAnsi="Arial" w:cs="Arial"/>
          <w:bCs/>
          <w:sz w:val="20"/>
          <w:szCs w:val="20"/>
        </w:rPr>
      </w:pPr>
      <w:r>
        <w:rPr>
          <w:rFonts w:ascii="Arial" w:eastAsia="Arial" w:hAnsi="Arial" w:cs="Arial"/>
          <w:bCs/>
          <w:sz w:val="20"/>
          <w:szCs w:val="20"/>
        </w:rPr>
        <w:t xml:space="preserve">El resto de </w:t>
      </w:r>
      <w:r w:rsidR="0074055B">
        <w:rPr>
          <w:rFonts w:ascii="Arial" w:eastAsia="Arial" w:hAnsi="Arial" w:cs="Arial"/>
          <w:bCs/>
          <w:sz w:val="20"/>
          <w:szCs w:val="20"/>
        </w:rPr>
        <w:t>los segmentos</w:t>
      </w:r>
      <w:r>
        <w:rPr>
          <w:rFonts w:ascii="Arial" w:eastAsia="Arial" w:hAnsi="Arial" w:cs="Arial"/>
          <w:bCs/>
          <w:sz w:val="20"/>
          <w:szCs w:val="20"/>
        </w:rPr>
        <w:t xml:space="preserve"> observa un comportamiento más contenido</w:t>
      </w:r>
      <w:r w:rsidR="00874E5B">
        <w:rPr>
          <w:rFonts w:ascii="Arial" w:eastAsia="Arial" w:hAnsi="Arial" w:cs="Arial"/>
          <w:bCs/>
          <w:sz w:val="20"/>
          <w:szCs w:val="20"/>
        </w:rPr>
        <w:t>:</w:t>
      </w:r>
      <w:r>
        <w:rPr>
          <w:rFonts w:ascii="Arial" w:eastAsia="Arial" w:hAnsi="Arial" w:cs="Arial"/>
          <w:bCs/>
          <w:sz w:val="20"/>
          <w:szCs w:val="20"/>
        </w:rPr>
        <w:t xml:space="preserve"> las organizaciones de entre </w:t>
      </w:r>
      <w:r w:rsidRPr="00874E5B">
        <w:rPr>
          <w:rFonts w:ascii="Arial" w:eastAsia="Arial" w:hAnsi="Arial" w:cs="Arial"/>
          <w:b/>
          <w:sz w:val="20"/>
          <w:szCs w:val="20"/>
        </w:rPr>
        <w:t>50 y 249 trabajadores</w:t>
      </w:r>
      <w:r>
        <w:rPr>
          <w:rFonts w:ascii="Arial" w:eastAsia="Arial" w:hAnsi="Arial" w:cs="Arial"/>
          <w:bCs/>
          <w:sz w:val="20"/>
          <w:szCs w:val="20"/>
        </w:rPr>
        <w:t xml:space="preserve"> </w:t>
      </w:r>
      <w:r w:rsidR="0074055B">
        <w:rPr>
          <w:rFonts w:ascii="Arial" w:eastAsia="Arial" w:hAnsi="Arial" w:cs="Arial"/>
          <w:bCs/>
          <w:sz w:val="20"/>
          <w:szCs w:val="20"/>
        </w:rPr>
        <w:t>registran</w:t>
      </w:r>
      <w:r>
        <w:rPr>
          <w:rFonts w:ascii="Arial" w:eastAsia="Arial" w:hAnsi="Arial" w:cs="Arial"/>
          <w:bCs/>
          <w:sz w:val="20"/>
          <w:szCs w:val="20"/>
        </w:rPr>
        <w:t xml:space="preserve"> una expectativa</w:t>
      </w:r>
      <w:r w:rsidR="00874E5B">
        <w:rPr>
          <w:rFonts w:ascii="Arial" w:eastAsia="Arial" w:hAnsi="Arial" w:cs="Arial"/>
          <w:bCs/>
          <w:sz w:val="20"/>
          <w:szCs w:val="20"/>
        </w:rPr>
        <w:t xml:space="preserve"> de contratación</w:t>
      </w:r>
      <w:r>
        <w:rPr>
          <w:rFonts w:ascii="Arial" w:eastAsia="Arial" w:hAnsi="Arial" w:cs="Arial"/>
          <w:bCs/>
          <w:sz w:val="20"/>
          <w:szCs w:val="20"/>
        </w:rPr>
        <w:t xml:space="preserve"> del 7%,</w:t>
      </w:r>
      <w:r w:rsidR="00874E5B">
        <w:rPr>
          <w:rFonts w:ascii="Arial" w:eastAsia="Arial" w:hAnsi="Arial" w:cs="Arial"/>
          <w:bCs/>
          <w:sz w:val="20"/>
          <w:szCs w:val="20"/>
        </w:rPr>
        <w:t xml:space="preserve"> mientras que las compañías de entre </w:t>
      </w:r>
      <w:r w:rsidRPr="00874E5B">
        <w:rPr>
          <w:rFonts w:ascii="Arial" w:eastAsia="Arial" w:hAnsi="Arial" w:cs="Arial"/>
          <w:b/>
          <w:sz w:val="20"/>
          <w:szCs w:val="20"/>
        </w:rPr>
        <w:t xml:space="preserve">1.000 </w:t>
      </w:r>
      <w:r w:rsidR="00874E5B" w:rsidRPr="00874E5B">
        <w:rPr>
          <w:rFonts w:ascii="Arial" w:eastAsia="Arial" w:hAnsi="Arial" w:cs="Arial"/>
          <w:b/>
          <w:sz w:val="20"/>
          <w:szCs w:val="20"/>
        </w:rPr>
        <w:t>y</w:t>
      </w:r>
      <w:r w:rsidRPr="00874E5B">
        <w:rPr>
          <w:rFonts w:ascii="Arial" w:eastAsia="Arial" w:hAnsi="Arial" w:cs="Arial"/>
          <w:b/>
          <w:sz w:val="20"/>
          <w:szCs w:val="20"/>
        </w:rPr>
        <w:t xml:space="preserve"> 4.999 empleados</w:t>
      </w:r>
      <w:r>
        <w:rPr>
          <w:rFonts w:ascii="Arial" w:eastAsia="Arial" w:hAnsi="Arial" w:cs="Arial"/>
          <w:bCs/>
          <w:sz w:val="20"/>
          <w:szCs w:val="20"/>
        </w:rPr>
        <w:t xml:space="preserve"> </w:t>
      </w:r>
      <w:r w:rsidR="00874E5B">
        <w:rPr>
          <w:rFonts w:ascii="Arial" w:eastAsia="Arial" w:hAnsi="Arial" w:cs="Arial"/>
          <w:bCs/>
          <w:sz w:val="20"/>
          <w:szCs w:val="20"/>
        </w:rPr>
        <w:t xml:space="preserve">se sitúan en </w:t>
      </w:r>
      <w:r>
        <w:rPr>
          <w:rFonts w:ascii="Arial" w:eastAsia="Arial" w:hAnsi="Arial" w:cs="Arial"/>
          <w:bCs/>
          <w:sz w:val="20"/>
          <w:szCs w:val="20"/>
        </w:rPr>
        <w:t xml:space="preserve">el 3%. </w:t>
      </w:r>
      <w:r w:rsidR="00874E5B">
        <w:rPr>
          <w:rFonts w:ascii="Arial" w:eastAsia="Arial" w:hAnsi="Arial" w:cs="Arial"/>
          <w:bCs/>
          <w:sz w:val="20"/>
          <w:szCs w:val="20"/>
        </w:rPr>
        <w:t>Por su parte, l</w:t>
      </w:r>
      <w:r>
        <w:rPr>
          <w:rFonts w:ascii="Arial" w:eastAsia="Arial" w:hAnsi="Arial" w:cs="Arial"/>
          <w:bCs/>
          <w:sz w:val="20"/>
          <w:szCs w:val="20"/>
        </w:rPr>
        <w:t xml:space="preserve">as microempresas son las únicas que muestran una previsión negativa del -3%, reflejando </w:t>
      </w:r>
      <w:r w:rsidR="0019492D">
        <w:rPr>
          <w:rFonts w:ascii="Arial" w:eastAsia="Arial" w:hAnsi="Arial" w:cs="Arial"/>
          <w:bCs/>
          <w:sz w:val="20"/>
          <w:szCs w:val="20"/>
        </w:rPr>
        <w:t xml:space="preserve">una actitud pesimista </w:t>
      </w:r>
      <w:r>
        <w:rPr>
          <w:rFonts w:ascii="Arial" w:eastAsia="Arial" w:hAnsi="Arial" w:cs="Arial"/>
          <w:bCs/>
          <w:sz w:val="20"/>
          <w:szCs w:val="20"/>
        </w:rPr>
        <w:t>a la hora de aborda</w:t>
      </w:r>
      <w:r w:rsidR="0019492D">
        <w:rPr>
          <w:rFonts w:ascii="Arial" w:eastAsia="Arial" w:hAnsi="Arial" w:cs="Arial"/>
          <w:bCs/>
          <w:sz w:val="20"/>
          <w:szCs w:val="20"/>
        </w:rPr>
        <w:t>r</w:t>
      </w:r>
      <w:r>
        <w:rPr>
          <w:rFonts w:ascii="Arial" w:eastAsia="Arial" w:hAnsi="Arial" w:cs="Arial"/>
          <w:bCs/>
          <w:sz w:val="20"/>
          <w:szCs w:val="20"/>
        </w:rPr>
        <w:t xml:space="preserve"> nuevas contrataciones durante los próximos </w:t>
      </w:r>
      <w:r w:rsidR="0019492D">
        <w:rPr>
          <w:rFonts w:ascii="Arial" w:eastAsia="Arial" w:hAnsi="Arial" w:cs="Arial"/>
          <w:bCs/>
          <w:sz w:val="20"/>
          <w:szCs w:val="20"/>
        </w:rPr>
        <w:t xml:space="preserve">tres </w:t>
      </w:r>
      <w:r>
        <w:rPr>
          <w:rFonts w:ascii="Arial" w:eastAsia="Arial" w:hAnsi="Arial" w:cs="Arial"/>
          <w:bCs/>
          <w:sz w:val="20"/>
          <w:szCs w:val="20"/>
        </w:rPr>
        <w:t>meses.</w:t>
      </w:r>
    </w:p>
    <w:p w14:paraId="062E4892" w14:textId="1A324A29" w:rsidR="0075276A" w:rsidRPr="006C65CF" w:rsidRDefault="00414B22" w:rsidP="00A328F3">
      <w:pPr>
        <w:spacing w:before="120" w:line="288" w:lineRule="auto"/>
        <w:jc w:val="both"/>
        <w:rPr>
          <w:rFonts w:ascii="Arial" w:eastAsia="Arial" w:hAnsi="Arial" w:cs="Arial"/>
          <w:b/>
          <w:sz w:val="20"/>
          <w:szCs w:val="20"/>
        </w:rPr>
      </w:pPr>
      <w:r w:rsidRPr="00414B22">
        <w:rPr>
          <w:rFonts w:ascii="Arial" w:eastAsia="Arial" w:hAnsi="Arial" w:cs="Arial"/>
          <w:b/>
          <w:noProof/>
          <w:sz w:val="20"/>
          <w:szCs w:val="20"/>
        </w:rPr>
        <w:lastRenderedPageBreak/>
        <w:drawing>
          <wp:inline distT="0" distB="0" distL="0" distR="0" wp14:anchorId="1653CBE8" wp14:editId="7EC86B0F">
            <wp:extent cx="5760085" cy="1565275"/>
            <wp:effectExtent l="0" t="0" r="0" b="0"/>
            <wp:docPr id="20196538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653802" name=""/>
                    <pic:cNvPicPr/>
                  </pic:nvPicPr>
                  <pic:blipFill>
                    <a:blip r:embed="rId10"/>
                    <a:stretch>
                      <a:fillRect/>
                    </a:stretch>
                  </pic:blipFill>
                  <pic:spPr>
                    <a:xfrm>
                      <a:off x="0" y="0"/>
                      <a:ext cx="5760085" cy="1565275"/>
                    </a:xfrm>
                    <a:prstGeom prst="rect">
                      <a:avLst/>
                    </a:prstGeom>
                  </pic:spPr>
                </pic:pic>
              </a:graphicData>
            </a:graphic>
          </wp:inline>
        </w:drawing>
      </w:r>
    </w:p>
    <w:p w14:paraId="55E73848" w14:textId="77777777" w:rsidR="009B5BB7" w:rsidRPr="00032572" w:rsidRDefault="009B5BB7" w:rsidP="009B5BB7">
      <w:pPr>
        <w:spacing w:before="120" w:line="288" w:lineRule="auto"/>
        <w:jc w:val="right"/>
        <w:rPr>
          <w:rFonts w:ascii="Arial" w:eastAsiaTheme="minorEastAsia" w:hAnsi="Arial" w:cs="Arial"/>
          <w:b/>
          <w:bCs/>
          <w:i/>
          <w:iCs/>
          <w:sz w:val="16"/>
          <w:szCs w:val="16"/>
          <w:lang w:eastAsia="zh-CN"/>
        </w:rPr>
      </w:pPr>
      <w:r w:rsidRPr="00032572">
        <w:rPr>
          <w:rFonts w:ascii="Arial" w:eastAsiaTheme="minorEastAsia" w:hAnsi="Arial" w:cs="Arial"/>
          <w:b/>
          <w:bCs/>
          <w:i/>
          <w:iCs/>
          <w:sz w:val="16"/>
          <w:szCs w:val="16"/>
          <w:lang w:eastAsia="zh-CN"/>
        </w:rPr>
        <w:t>Expectativas de contratación según el tamaño de la empresa</w:t>
      </w:r>
    </w:p>
    <w:p w14:paraId="110B1EC6" w14:textId="77777777" w:rsidR="009B5BB7" w:rsidRDefault="009B5BB7" w:rsidP="009B5BB7">
      <w:pPr>
        <w:spacing w:before="120" w:line="288" w:lineRule="auto"/>
        <w:ind w:right="-1"/>
        <w:jc w:val="both"/>
        <w:rPr>
          <w:rFonts w:ascii="Arial" w:eastAsia="Arial" w:hAnsi="Arial" w:cs="Arial"/>
          <w:b/>
          <w:sz w:val="20"/>
          <w:szCs w:val="20"/>
        </w:rPr>
      </w:pPr>
    </w:p>
    <w:p w14:paraId="0186B09C" w14:textId="69F8BA99" w:rsidR="00ED6AAE" w:rsidRPr="009B5BB7" w:rsidRDefault="009B5BB7" w:rsidP="009B5BB7">
      <w:pPr>
        <w:spacing w:before="120" w:line="288" w:lineRule="auto"/>
        <w:ind w:right="-1"/>
        <w:jc w:val="both"/>
        <w:rPr>
          <w:rFonts w:ascii="Arial" w:eastAsia="Arial" w:hAnsi="Arial" w:cs="Arial"/>
          <w:b/>
          <w:sz w:val="20"/>
          <w:szCs w:val="20"/>
        </w:rPr>
      </w:pPr>
      <w:r w:rsidRPr="00890CD3">
        <w:rPr>
          <w:rFonts w:ascii="Arial" w:eastAsia="Arial" w:hAnsi="Arial" w:cs="Arial"/>
          <w:b/>
          <w:sz w:val="20"/>
          <w:szCs w:val="20"/>
        </w:rPr>
        <w:t>España</w:t>
      </w:r>
      <w:r>
        <w:rPr>
          <w:rFonts w:ascii="Arial" w:eastAsia="Arial" w:hAnsi="Arial" w:cs="Arial"/>
          <w:b/>
          <w:sz w:val="20"/>
          <w:szCs w:val="20"/>
        </w:rPr>
        <w:t xml:space="preserve"> se mantiene en positivo, aunque por debajo de la media global</w:t>
      </w:r>
    </w:p>
    <w:p w14:paraId="25D57FC3" w14:textId="14B73F20" w:rsidR="00A93B6A" w:rsidRDefault="00952EA4" w:rsidP="00195CAB">
      <w:pPr>
        <w:spacing w:before="120" w:line="288" w:lineRule="auto"/>
        <w:ind w:right="-1"/>
        <w:jc w:val="both"/>
        <w:rPr>
          <w:rFonts w:ascii="Arial" w:hAnsi="Arial" w:cs="Arial"/>
          <w:color w:val="000000" w:themeColor="text1"/>
          <w:sz w:val="20"/>
          <w:szCs w:val="20"/>
        </w:rPr>
      </w:pPr>
      <w:r>
        <w:rPr>
          <w:rFonts w:ascii="Arial" w:hAnsi="Arial" w:cs="Arial"/>
          <w:color w:val="000000" w:themeColor="text1"/>
          <w:sz w:val="20"/>
          <w:szCs w:val="20"/>
        </w:rPr>
        <w:t xml:space="preserve">Las previsiones de contratación continúan siendo favorables a nivel global, aunque el contexto internacional muestra señales de mayor prudencia por parte de las organizaciones. Para el tercer trimestre </w:t>
      </w:r>
      <w:r w:rsidR="009B5BB7" w:rsidRPr="00874E5B">
        <w:rPr>
          <w:rFonts w:ascii="Arial" w:hAnsi="Arial" w:cs="Arial"/>
          <w:b/>
          <w:bCs/>
          <w:color w:val="000000" w:themeColor="text1"/>
          <w:sz w:val="20"/>
          <w:szCs w:val="20"/>
        </w:rPr>
        <w:t xml:space="preserve">las previsiones </w:t>
      </w:r>
      <w:r w:rsidR="0019492D" w:rsidRPr="00874E5B">
        <w:rPr>
          <w:rFonts w:ascii="Arial" w:hAnsi="Arial" w:cs="Arial"/>
          <w:b/>
          <w:bCs/>
          <w:color w:val="000000" w:themeColor="text1"/>
          <w:sz w:val="20"/>
          <w:szCs w:val="20"/>
        </w:rPr>
        <w:t xml:space="preserve">globales </w:t>
      </w:r>
      <w:r w:rsidR="009B5BB7" w:rsidRPr="00874E5B">
        <w:rPr>
          <w:rFonts w:ascii="Arial" w:hAnsi="Arial" w:cs="Arial"/>
          <w:b/>
          <w:bCs/>
          <w:color w:val="000000" w:themeColor="text1"/>
          <w:sz w:val="20"/>
          <w:szCs w:val="20"/>
        </w:rPr>
        <w:t xml:space="preserve">alcanzan un 26% </w:t>
      </w:r>
      <w:r w:rsidR="009B5BB7">
        <w:rPr>
          <w:rFonts w:ascii="Arial" w:hAnsi="Arial" w:cs="Arial"/>
          <w:color w:val="000000" w:themeColor="text1"/>
          <w:sz w:val="20"/>
          <w:szCs w:val="20"/>
        </w:rPr>
        <w:t xml:space="preserve">neto, </w:t>
      </w:r>
      <w:r>
        <w:rPr>
          <w:rFonts w:ascii="Arial" w:hAnsi="Arial" w:cs="Arial"/>
          <w:color w:val="000000" w:themeColor="text1"/>
          <w:sz w:val="20"/>
          <w:szCs w:val="20"/>
        </w:rPr>
        <w:t xml:space="preserve">reflejando que las empresas siguen apostando por la incorporación de talento pese a un escenario condicionado por factores económicos, comerciales y geopolíticos que influyen en la toma de decisiones. </w:t>
      </w:r>
      <w:r w:rsidR="009B5BB7">
        <w:rPr>
          <w:rFonts w:ascii="Arial" w:hAnsi="Arial" w:cs="Arial"/>
          <w:color w:val="000000" w:themeColor="text1"/>
          <w:sz w:val="20"/>
          <w:szCs w:val="20"/>
        </w:rPr>
        <w:t xml:space="preserve">En este contexto, España </w:t>
      </w:r>
      <w:r w:rsidR="00874E5B">
        <w:rPr>
          <w:rFonts w:ascii="Arial" w:hAnsi="Arial" w:cs="Arial"/>
          <w:color w:val="000000" w:themeColor="text1"/>
          <w:sz w:val="20"/>
          <w:szCs w:val="20"/>
        </w:rPr>
        <w:t>se mantiene en positivo, pero continúa por debajo de la media global</w:t>
      </w:r>
      <w:r w:rsidR="009B5BB7">
        <w:rPr>
          <w:rFonts w:ascii="Arial" w:hAnsi="Arial" w:cs="Arial"/>
          <w:color w:val="000000" w:themeColor="text1"/>
          <w:sz w:val="20"/>
          <w:szCs w:val="20"/>
        </w:rPr>
        <w:t>.</w:t>
      </w:r>
    </w:p>
    <w:p w14:paraId="4A93DC7A" w14:textId="7EC4D074" w:rsidR="009B5BB7" w:rsidRDefault="009B5BB7" w:rsidP="009B5BB7">
      <w:pPr>
        <w:spacing w:before="120" w:line="288" w:lineRule="auto"/>
        <w:jc w:val="both"/>
        <w:rPr>
          <w:rFonts w:ascii="Arial" w:hAnsi="Arial" w:cs="Arial"/>
          <w:color w:val="000000" w:themeColor="text1"/>
          <w:sz w:val="20"/>
          <w:szCs w:val="20"/>
        </w:rPr>
      </w:pPr>
      <w:r w:rsidRPr="00890CD3">
        <w:rPr>
          <w:rFonts w:ascii="Arial" w:hAnsi="Arial" w:cs="Arial"/>
          <w:color w:val="000000" w:themeColor="text1"/>
          <w:sz w:val="20"/>
          <w:szCs w:val="20"/>
        </w:rPr>
        <w:t xml:space="preserve">En el plano internacional, las expectativas más elevadas se </w:t>
      </w:r>
      <w:r>
        <w:rPr>
          <w:rFonts w:ascii="Arial" w:hAnsi="Arial" w:cs="Arial"/>
          <w:color w:val="000000" w:themeColor="text1"/>
          <w:sz w:val="20"/>
          <w:szCs w:val="20"/>
        </w:rPr>
        <w:t>registran</w:t>
      </w:r>
      <w:r w:rsidRPr="00890CD3">
        <w:rPr>
          <w:rFonts w:ascii="Arial" w:hAnsi="Arial" w:cs="Arial"/>
          <w:color w:val="000000" w:themeColor="text1"/>
          <w:sz w:val="20"/>
          <w:szCs w:val="20"/>
        </w:rPr>
        <w:t xml:space="preserve"> en </w:t>
      </w:r>
      <w:r w:rsidRPr="00874E5B">
        <w:rPr>
          <w:rFonts w:ascii="Arial" w:hAnsi="Arial" w:cs="Arial"/>
          <w:b/>
          <w:bCs/>
          <w:color w:val="000000" w:themeColor="text1"/>
          <w:sz w:val="20"/>
          <w:szCs w:val="20"/>
        </w:rPr>
        <w:t>India y Puerto Rico</w:t>
      </w:r>
      <w:r w:rsidRPr="00890CD3">
        <w:rPr>
          <w:rFonts w:ascii="Arial" w:hAnsi="Arial" w:cs="Arial"/>
          <w:color w:val="000000" w:themeColor="text1"/>
          <w:sz w:val="20"/>
          <w:szCs w:val="20"/>
        </w:rPr>
        <w:t xml:space="preserve"> (</w:t>
      </w:r>
      <w:r>
        <w:rPr>
          <w:rFonts w:ascii="Arial" w:hAnsi="Arial" w:cs="Arial"/>
          <w:color w:val="000000" w:themeColor="text1"/>
          <w:sz w:val="20"/>
          <w:szCs w:val="20"/>
        </w:rPr>
        <w:t>4</w:t>
      </w:r>
      <w:r w:rsidRPr="00890CD3">
        <w:rPr>
          <w:rFonts w:ascii="Arial" w:hAnsi="Arial" w:cs="Arial"/>
          <w:color w:val="000000" w:themeColor="text1"/>
          <w:sz w:val="20"/>
          <w:szCs w:val="20"/>
        </w:rPr>
        <w:t xml:space="preserve">8%), </w:t>
      </w:r>
      <w:r>
        <w:rPr>
          <w:rFonts w:ascii="Arial" w:hAnsi="Arial" w:cs="Arial"/>
          <w:color w:val="000000" w:themeColor="text1"/>
          <w:sz w:val="20"/>
          <w:szCs w:val="20"/>
        </w:rPr>
        <w:t xml:space="preserve">seguidas de </w:t>
      </w:r>
      <w:r w:rsidRPr="00874E5B">
        <w:rPr>
          <w:rFonts w:ascii="Arial" w:hAnsi="Arial" w:cs="Arial"/>
          <w:b/>
          <w:bCs/>
          <w:color w:val="000000" w:themeColor="text1"/>
          <w:sz w:val="20"/>
          <w:szCs w:val="20"/>
        </w:rPr>
        <w:t>Estados Unidos</w:t>
      </w:r>
      <w:r>
        <w:rPr>
          <w:rFonts w:ascii="Arial" w:hAnsi="Arial" w:cs="Arial"/>
          <w:color w:val="000000" w:themeColor="text1"/>
          <w:sz w:val="20"/>
          <w:szCs w:val="20"/>
        </w:rPr>
        <w:t xml:space="preserve"> (45%). En </w:t>
      </w:r>
      <w:r w:rsidRPr="00874E5B">
        <w:rPr>
          <w:rFonts w:ascii="Arial" w:hAnsi="Arial" w:cs="Arial"/>
          <w:b/>
          <w:bCs/>
          <w:color w:val="000000" w:themeColor="text1"/>
          <w:sz w:val="20"/>
          <w:szCs w:val="20"/>
        </w:rPr>
        <w:t>Europa y Oriente Medio</w:t>
      </w:r>
      <w:r>
        <w:rPr>
          <w:rFonts w:ascii="Arial" w:hAnsi="Arial" w:cs="Arial"/>
          <w:color w:val="000000" w:themeColor="text1"/>
          <w:sz w:val="20"/>
          <w:szCs w:val="20"/>
        </w:rPr>
        <w:t xml:space="preserve"> </w:t>
      </w:r>
      <w:r w:rsidR="00874E5B">
        <w:rPr>
          <w:rFonts w:ascii="Arial" w:hAnsi="Arial" w:cs="Arial"/>
          <w:color w:val="000000" w:themeColor="text1"/>
          <w:sz w:val="20"/>
          <w:szCs w:val="20"/>
        </w:rPr>
        <w:t xml:space="preserve">las previsiones de contratación alcanzan </w:t>
      </w:r>
      <w:r>
        <w:rPr>
          <w:rFonts w:ascii="Arial" w:hAnsi="Arial" w:cs="Arial"/>
          <w:color w:val="000000" w:themeColor="text1"/>
          <w:sz w:val="20"/>
          <w:szCs w:val="20"/>
        </w:rPr>
        <w:t>el 16%</w:t>
      </w:r>
      <w:r w:rsidR="00771088">
        <w:rPr>
          <w:rFonts w:ascii="Arial" w:hAnsi="Arial" w:cs="Arial"/>
          <w:color w:val="000000" w:themeColor="text1"/>
          <w:sz w:val="20"/>
          <w:szCs w:val="20"/>
        </w:rPr>
        <w:t>, también en un escenario de mayor cautela empresarial.</w:t>
      </w:r>
    </w:p>
    <w:p w14:paraId="717A1459" w14:textId="5D326F07" w:rsidR="00952EA4" w:rsidRDefault="00701992" w:rsidP="009B5BB7">
      <w:pPr>
        <w:spacing w:before="120" w:line="288" w:lineRule="auto"/>
        <w:jc w:val="both"/>
        <w:rPr>
          <w:rFonts w:ascii="Arial" w:hAnsi="Arial" w:cs="Arial"/>
          <w:color w:val="000000" w:themeColor="text1"/>
          <w:sz w:val="20"/>
          <w:szCs w:val="20"/>
        </w:rPr>
      </w:pPr>
      <w:r>
        <w:rPr>
          <w:rFonts w:ascii="Arial" w:hAnsi="Arial" w:cs="Arial"/>
          <w:color w:val="000000" w:themeColor="text1"/>
          <w:sz w:val="20"/>
          <w:szCs w:val="20"/>
        </w:rPr>
        <w:t>En conjunto los datos reflejan que, pese a la incertidumbre, el empleo continúa siendo un elemento estratégico para las organizaciones, que siguen apostando por la atracción de talento, aunque con una aproximación más prudente.</w:t>
      </w:r>
    </w:p>
    <w:p w14:paraId="798A1A0A" w14:textId="351E84C3" w:rsidR="0043086E" w:rsidRDefault="0043086E" w:rsidP="006A2051">
      <w:pPr>
        <w:spacing w:before="120" w:line="288" w:lineRule="auto"/>
        <w:jc w:val="both"/>
        <w:rPr>
          <w:rFonts w:ascii="Arial" w:hAnsi="Arial" w:cs="Arial"/>
          <w:sz w:val="22"/>
          <w:szCs w:val="22"/>
        </w:rPr>
      </w:pPr>
      <w:bookmarkStart w:id="7" w:name="_Hlk161068777"/>
      <w:bookmarkStart w:id="8" w:name="_Hlk90222956"/>
      <w:bookmarkStart w:id="9" w:name="_Hlk90207554"/>
      <w:bookmarkEnd w:id="3"/>
      <w:bookmarkEnd w:id="4"/>
      <w:bookmarkEnd w:id="5"/>
      <w:bookmarkEnd w:id="6"/>
    </w:p>
    <w:p w14:paraId="4B0DAF0C" w14:textId="7A0ABC83" w:rsidR="00771088" w:rsidRDefault="006A2051" w:rsidP="00771088">
      <w:pPr>
        <w:spacing w:before="120" w:line="288" w:lineRule="auto"/>
        <w:jc w:val="both"/>
        <w:rPr>
          <w:rFonts w:ascii="Arial" w:hAnsi="Arial" w:cs="Arial"/>
          <w:color w:val="808080" w:themeColor="background1" w:themeShade="80"/>
          <w:sz w:val="20"/>
          <w:szCs w:val="20"/>
        </w:rPr>
      </w:pPr>
      <w:r w:rsidRPr="002E1864">
        <w:rPr>
          <w:rFonts w:ascii="Arial" w:hAnsi="Arial" w:cs="Arial"/>
          <w:b/>
          <w:bCs/>
          <w:color w:val="808080" w:themeColor="background1" w:themeShade="80"/>
          <w:sz w:val="20"/>
          <w:szCs w:val="20"/>
        </w:rPr>
        <w:t xml:space="preserve">Sobre el Estudio de Proyección de Empleo de ManpowerGroup: </w:t>
      </w:r>
      <w:r w:rsidR="00771088" w:rsidRPr="00771088">
        <w:rPr>
          <w:rFonts w:ascii="Arial" w:hAnsi="Arial" w:cs="Arial"/>
          <w:color w:val="808080" w:themeColor="background1" w:themeShade="80"/>
          <w:sz w:val="20"/>
          <w:szCs w:val="20"/>
        </w:rPr>
        <w:t>El Estudio de Proyección de Empleo de ManpowerGroup, utilizado en todo el mundo como indicador económico de referencia, es la encuesta de empleo más exhaustiva de este tipo. La Proyección de Empleo Neto se obtiene tomando el porcentaje de empresas que prevén un incremento de la contratación y restando el porcentaje de aquellas que esperan una reducción. El éxito del estudio, que se realiza desde 1962</w:t>
      </w:r>
      <w:r w:rsidR="00771088">
        <w:rPr>
          <w:rFonts w:ascii="Arial" w:hAnsi="Arial" w:cs="Arial"/>
          <w:color w:val="808080" w:themeColor="background1" w:themeShade="80"/>
          <w:sz w:val="20"/>
          <w:szCs w:val="20"/>
        </w:rPr>
        <w:t>.</w:t>
      </w:r>
    </w:p>
    <w:p w14:paraId="5F25FB14" w14:textId="66268AC0" w:rsidR="00750181" w:rsidRPr="00771088" w:rsidRDefault="00771088" w:rsidP="00771088">
      <w:pPr>
        <w:spacing w:before="120" w:line="288" w:lineRule="auto"/>
        <w:jc w:val="both"/>
        <w:rPr>
          <w:rFonts w:ascii="Arial" w:hAnsi="Arial" w:cs="Arial"/>
          <w:color w:val="808080" w:themeColor="background1" w:themeShade="80"/>
          <w:sz w:val="20"/>
          <w:szCs w:val="20"/>
        </w:rPr>
      </w:pPr>
      <w:r w:rsidRPr="00771088">
        <w:rPr>
          <w:rFonts w:ascii="Arial" w:hAnsi="Arial" w:cs="Arial"/>
          <w:color w:val="808080" w:themeColor="background1" w:themeShade="80"/>
          <w:sz w:val="20"/>
          <w:szCs w:val="20"/>
        </w:rPr>
        <w:t>Los datos correspondientes al tercer trimestre se recopilaron entre el 1 y el 30 de abril de 2026. Los resultados reflejan la percepción de las empresas en el momento de la recogida de datos y pueden no incorporar el impacto potencial de acontecimientos posteriores. El tamaño de las empresas y los sectores se estandariza en todos los países para facilitar comparaciones internacionales.</w:t>
      </w:r>
    </w:p>
    <w:p w14:paraId="5DBC975D" w14:textId="77777777" w:rsidR="006A2051" w:rsidRDefault="006A2051" w:rsidP="00DC55EB">
      <w:pPr>
        <w:jc w:val="both"/>
        <w:rPr>
          <w:rFonts w:ascii="Arial" w:hAnsi="Arial" w:cs="Arial"/>
          <w:b/>
          <w:bCs/>
          <w:sz w:val="16"/>
          <w:szCs w:val="16"/>
        </w:rPr>
      </w:pPr>
    </w:p>
    <w:p w14:paraId="515740E1" w14:textId="77777777" w:rsidR="00750181" w:rsidRDefault="00750181" w:rsidP="00DC55EB">
      <w:pPr>
        <w:jc w:val="both"/>
        <w:rPr>
          <w:rFonts w:ascii="Arial" w:hAnsi="Arial" w:cs="Arial"/>
          <w:b/>
          <w:bCs/>
          <w:sz w:val="16"/>
          <w:szCs w:val="16"/>
        </w:rPr>
      </w:pPr>
    </w:p>
    <w:p w14:paraId="5238AAE2" w14:textId="77777777" w:rsidR="00C11876" w:rsidRPr="00C11876" w:rsidRDefault="00C11876" w:rsidP="00C11876">
      <w:pPr>
        <w:tabs>
          <w:tab w:val="right" w:pos="8838"/>
        </w:tabs>
        <w:autoSpaceDE w:val="0"/>
        <w:autoSpaceDN w:val="0"/>
        <w:adjustRightInd w:val="0"/>
        <w:jc w:val="both"/>
        <w:rPr>
          <w:rFonts w:ascii="Arial" w:hAnsi="Arial" w:cs="Arial"/>
          <w:b/>
          <w:bCs/>
          <w:sz w:val="16"/>
          <w:szCs w:val="16"/>
        </w:rPr>
      </w:pPr>
      <w:r w:rsidRPr="00C11876">
        <w:rPr>
          <w:rFonts w:ascii="Arial" w:hAnsi="Arial" w:cs="Arial"/>
          <w:b/>
          <w:bCs/>
          <w:sz w:val="16"/>
          <w:szCs w:val="16"/>
        </w:rPr>
        <w:t>ManpowerGroup</w:t>
      </w:r>
    </w:p>
    <w:p w14:paraId="63008374" w14:textId="77777777" w:rsidR="00C11876" w:rsidRPr="00C11876" w:rsidRDefault="00C11876" w:rsidP="00C11876">
      <w:pPr>
        <w:tabs>
          <w:tab w:val="right" w:pos="8838"/>
        </w:tabs>
        <w:autoSpaceDE w:val="0"/>
        <w:autoSpaceDN w:val="0"/>
        <w:adjustRightInd w:val="0"/>
        <w:jc w:val="both"/>
        <w:rPr>
          <w:rFonts w:ascii="Arial" w:hAnsi="Arial" w:cs="Arial"/>
          <w:sz w:val="16"/>
          <w:szCs w:val="16"/>
        </w:rPr>
      </w:pPr>
      <w:r w:rsidRPr="00C11876">
        <w:rPr>
          <w:rFonts w:ascii="Arial" w:hAnsi="Arial" w:cs="Arial"/>
          <w:sz w:val="16"/>
          <w:szCs w:val="16"/>
        </w:rPr>
        <w:t>ManpowerGroup 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Solutions), aporta valor a candidatos y clientes en más de 75 países, como lleva haciendo durante más de 75 años. Además, sus políticas de diversidad, inclusión e igualdad y sus buenas prácticas de negocio son reconocidas por multitud de organizaciones.</w:t>
      </w:r>
    </w:p>
    <w:p w14:paraId="25BFF3CD" w14:textId="77777777" w:rsidR="00C11876" w:rsidRPr="00C11876" w:rsidRDefault="00C11876" w:rsidP="00C11876">
      <w:pPr>
        <w:tabs>
          <w:tab w:val="right" w:pos="8838"/>
        </w:tabs>
        <w:autoSpaceDE w:val="0"/>
        <w:autoSpaceDN w:val="0"/>
        <w:adjustRightInd w:val="0"/>
        <w:jc w:val="both"/>
        <w:rPr>
          <w:rFonts w:ascii="Arial" w:hAnsi="Arial" w:cs="Arial"/>
          <w:sz w:val="16"/>
          <w:szCs w:val="16"/>
        </w:rPr>
      </w:pPr>
      <w:r w:rsidRPr="00C11876">
        <w:rPr>
          <w:rFonts w:ascii="Arial" w:hAnsi="Arial" w:cs="Arial"/>
          <w:sz w:val="16"/>
          <w:szCs w:val="16"/>
        </w:rPr>
        <w:t xml:space="preserve">Más información en </w:t>
      </w:r>
      <w:hyperlink r:id="rId11" w:history="1">
        <w:r w:rsidRPr="00C11876">
          <w:rPr>
            <w:rStyle w:val="Hipervnculo"/>
            <w:rFonts w:ascii="Arial" w:hAnsi="Arial" w:cs="Arial"/>
            <w:sz w:val="16"/>
            <w:szCs w:val="16"/>
          </w:rPr>
          <w:t>www.manpowergroup.es</w:t>
        </w:r>
      </w:hyperlink>
      <w:r w:rsidRPr="00C11876">
        <w:rPr>
          <w:rFonts w:ascii="Arial" w:hAnsi="Arial" w:cs="Arial"/>
          <w:sz w:val="16"/>
          <w:szCs w:val="16"/>
        </w:rPr>
        <w:t>.</w:t>
      </w:r>
    </w:p>
    <w:p w14:paraId="4A498259" w14:textId="1B60E822" w:rsidR="00493CFD" w:rsidRDefault="00493CFD" w:rsidP="00DC55EB">
      <w:pPr>
        <w:tabs>
          <w:tab w:val="right" w:pos="8838"/>
        </w:tabs>
        <w:autoSpaceDE w:val="0"/>
        <w:autoSpaceDN w:val="0"/>
        <w:adjustRightInd w:val="0"/>
        <w:jc w:val="both"/>
        <w:rPr>
          <w:rFonts w:ascii="Arial" w:hAnsi="Arial" w:cs="Arial"/>
          <w:sz w:val="16"/>
          <w:szCs w:val="16"/>
        </w:rPr>
      </w:pPr>
    </w:p>
    <w:p w14:paraId="6FB62582" w14:textId="39C9DF2B" w:rsidR="00750181" w:rsidRDefault="00750181" w:rsidP="00DC55EB">
      <w:pPr>
        <w:tabs>
          <w:tab w:val="right" w:pos="8838"/>
        </w:tabs>
        <w:autoSpaceDE w:val="0"/>
        <w:autoSpaceDN w:val="0"/>
        <w:adjustRightInd w:val="0"/>
        <w:jc w:val="both"/>
        <w:rPr>
          <w:rFonts w:ascii="Arial" w:hAnsi="Arial" w:cs="Arial"/>
          <w:sz w:val="16"/>
          <w:szCs w:val="16"/>
        </w:rPr>
      </w:pPr>
    </w:p>
    <w:p w14:paraId="108340AD" w14:textId="77777777" w:rsidR="00750181" w:rsidRDefault="00750181" w:rsidP="00DC55EB">
      <w:pPr>
        <w:tabs>
          <w:tab w:val="right" w:pos="8838"/>
        </w:tabs>
        <w:autoSpaceDE w:val="0"/>
        <w:autoSpaceDN w:val="0"/>
        <w:adjustRightInd w:val="0"/>
        <w:jc w:val="both"/>
        <w:rPr>
          <w:rFonts w:ascii="Arial" w:hAnsi="Arial" w:cs="Arial"/>
          <w:sz w:val="16"/>
          <w:szCs w:val="16"/>
        </w:rPr>
      </w:pPr>
    </w:p>
    <w:bookmarkEnd w:id="7"/>
    <w:bookmarkEnd w:id="8"/>
    <w:bookmarkEnd w:id="9"/>
    <w:p w14:paraId="26B230C1" w14:textId="77777777" w:rsidR="00761D60" w:rsidRPr="00761D60" w:rsidRDefault="00761D60" w:rsidP="00761D60">
      <w:pPr>
        <w:tabs>
          <w:tab w:val="right" w:pos="8838"/>
        </w:tabs>
        <w:autoSpaceDE w:val="0"/>
        <w:autoSpaceDN w:val="0"/>
        <w:adjustRightInd w:val="0"/>
        <w:jc w:val="both"/>
        <w:rPr>
          <w:rFonts w:ascii="Arial" w:hAnsi="Arial" w:cs="Arial"/>
          <w:b/>
          <w:bCs/>
          <w:sz w:val="16"/>
          <w:szCs w:val="16"/>
        </w:rPr>
      </w:pPr>
      <w:r w:rsidRPr="00761D60">
        <w:rPr>
          <w:rFonts w:ascii="Arial" w:hAnsi="Arial" w:cs="Arial"/>
          <w:b/>
          <w:bCs/>
          <w:sz w:val="16"/>
          <w:szCs w:val="16"/>
        </w:rPr>
        <w:t>Para más información:</w:t>
      </w:r>
    </w:p>
    <w:tbl>
      <w:tblPr>
        <w:tblW w:w="8948" w:type="dxa"/>
        <w:tblLayout w:type="fixed"/>
        <w:tblLook w:val="04A0" w:firstRow="1" w:lastRow="0" w:firstColumn="1" w:lastColumn="0" w:noHBand="0" w:noVBand="1"/>
      </w:tblPr>
      <w:tblGrid>
        <w:gridCol w:w="3686"/>
        <w:gridCol w:w="2234"/>
        <w:gridCol w:w="3028"/>
      </w:tblGrid>
      <w:tr w:rsidR="00761D60" w:rsidRPr="008861A5" w14:paraId="6DE41C35" w14:textId="77777777" w:rsidTr="00030508">
        <w:trPr>
          <w:trHeight w:val="1159"/>
        </w:trPr>
        <w:tc>
          <w:tcPr>
            <w:tcW w:w="3686" w:type="dxa"/>
            <w:hideMark/>
          </w:tcPr>
          <w:p w14:paraId="1D05332F" w14:textId="719F0AB6" w:rsidR="00761D60" w:rsidRPr="00761D60" w:rsidRDefault="00761D60" w:rsidP="00721B40">
            <w:pPr>
              <w:pStyle w:val="NormalWeb"/>
              <w:spacing w:before="0" w:beforeAutospacing="0" w:after="0" w:afterAutospacing="0"/>
              <w:jc w:val="both"/>
              <w:rPr>
                <w:rStyle w:val="Hipervnculo"/>
                <w:rFonts w:ascii="Arial" w:eastAsia="MS Mincho" w:hAnsi="Arial" w:cs="Arial"/>
                <w:sz w:val="16"/>
                <w:szCs w:val="16"/>
              </w:rPr>
            </w:pPr>
            <w:bookmarkStart w:id="10" w:name="_Hlk90207537"/>
            <w:r w:rsidRPr="00761D60">
              <w:rPr>
                <w:rFonts w:ascii="Arial" w:hAnsi="Arial" w:cs="Arial"/>
                <w:color w:val="000000"/>
                <w:sz w:val="16"/>
                <w:szCs w:val="16"/>
                <w:u w:val="single"/>
              </w:rPr>
              <w:t xml:space="preserve">Agencia de comunicación </w:t>
            </w:r>
            <w:r w:rsidR="00030508">
              <w:rPr>
                <w:rFonts w:ascii="Arial" w:hAnsi="Arial" w:cs="Arial"/>
                <w:color w:val="000000"/>
                <w:sz w:val="16"/>
                <w:szCs w:val="16"/>
                <w:u w:val="single"/>
              </w:rPr>
              <w:t>Havas PR</w:t>
            </w:r>
          </w:p>
          <w:p w14:paraId="0C9FBF80" w14:textId="573D0904" w:rsidR="00761D60" w:rsidRPr="00D76B10" w:rsidRDefault="00533EC8" w:rsidP="00721B40">
            <w:pPr>
              <w:pStyle w:val="NormalWeb"/>
              <w:spacing w:before="0" w:beforeAutospacing="0" w:after="0" w:afterAutospacing="0"/>
              <w:rPr>
                <w:rFonts w:ascii="Arial" w:hAnsi="Arial" w:cs="Arial"/>
                <w:color w:val="000000"/>
                <w:sz w:val="16"/>
                <w:szCs w:val="16"/>
              </w:rPr>
            </w:pPr>
            <w:hyperlink r:id="rId12" w:history="1">
              <w:r w:rsidRPr="00D76B10">
                <w:rPr>
                  <w:rStyle w:val="Hipervnculo"/>
                  <w:rFonts w:ascii="Arial" w:hAnsi="Arial" w:cs="Arial"/>
                  <w:sz w:val="16"/>
                  <w:szCs w:val="16"/>
                </w:rPr>
                <w:t>comunicacion.manpowergroup@havas.com</w:t>
              </w:r>
            </w:hyperlink>
            <w:r w:rsidR="00030508" w:rsidRPr="00D76B10">
              <w:rPr>
                <w:rFonts w:ascii="Arial" w:hAnsi="Arial" w:cs="Arial"/>
                <w:color w:val="000000"/>
                <w:sz w:val="16"/>
                <w:szCs w:val="16"/>
              </w:rPr>
              <w:t xml:space="preserve"> </w:t>
            </w:r>
          </w:p>
          <w:p w14:paraId="0BBFE845" w14:textId="7D6AE060" w:rsidR="00761D60" w:rsidRPr="00761D60" w:rsidRDefault="00761D60" w:rsidP="00721B40">
            <w:pPr>
              <w:jc w:val="both"/>
              <w:outlineLvl w:val="0"/>
              <w:rPr>
                <w:rFonts w:ascii="Arial" w:hAnsi="Arial" w:cs="Arial"/>
                <w:b/>
                <w:sz w:val="16"/>
                <w:szCs w:val="16"/>
                <w:lang w:val="ca-ES"/>
              </w:rPr>
            </w:pPr>
          </w:p>
        </w:tc>
        <w:tc>
          <w:tcPr>
            <w:tcW w:w="2234" w:type="dxa"/>
          </w:tcPr>
          <w:p w14:paraId="5C3E5C6E" w14:textId="77777777" w:rsidR="00761D60" w:rsidRPr="00761D60" w:rsidRDefault="00761D60" w:rsidP="00721B40">
            <w:pPr>
              <w:jc w:val="both"/>
              <w:rPr>
                <w:rFonts w:ascii="Arial" w:hAnsi="Arial" w:cs="Arial"/>
                <w:sz w:val="16"/>
                <w:szCs w:val="16"/>
                <w:lang w:val="ca-ES"/>
              </w:rPr>
            </w:pPr>
          </w:p>
        </w:tc>
        <w:tc>
          <w:tcPr>
            <w:tcW w:w="3028" w:type="dxa"/>
          </w:tcPr>
          <w:p w14:paraId="5F6CDF18" w14:textId="77777777" w:rsidR="00761D60" w:rsidRPr="00761D60" w:rsidRDefault="00761D60" w:rsidP="00721B40">
            <w:pPr>
              <w:jc w:val="both"/>
              <w:outlineLvl w:val="0"/>
              <w:rPr>
                <w:rFonts w:ascii="Arial" w:hAnsi="Arial" w:cs="Arial"/>
                <w:b/>
                <w:sz w:val="16"/>
                <w:szCs w:val="16"/>
              </w:rPr>
            </w:pPr>
            <w:r w:rsidRPr="00761D60">
              <w:rPr>
                <w:rFonts w:ascii="Arial" w:hAnsi="Arial" w:cs="Arial"/>
                <w:b/>
                <w:sz w:val="16"/>
                <w:szCs w:val="16"/>
              </w:rPr>
              <w:t>ManpowerGroup</w:t>
            </w:r>
          </w:p>
          <w:p w14:paraId="6EB79493" w14:textId="77777777" w:rsidR="00761D60" w:rsidRPr="00761D60" w:rsidRDefault="00761D60" w:rsidP="00721B40">
            <w:pPr>
              <w:jc w:val="both"/>
              <w:outlineLvl w:val="0"/>
              <w:rPr>
                <w:rFonts w:ascii="Arial" w:hAnsi="Arial" w:cs="Arial"/>
                <w:sz w:val="16"/>
                <w:szCs w:val="16"/>
              </w:rPr>
            </w:pPr>
            <w:r w:rsidRPr="00761D60">
              <w:rPr>
                <w:rFonts w:ascii="Arial" w:hAnsi="Arial" w:cs="Arial"/>
                <w:sz w:val="16"/>
                <w:szCs w:val="16"/>
              </w:rPr>
              <w:t>Dpto. Comunicación</w:t>
            </w:r>
          </w:p>
          <w:p w14:paraId="68A38F2C" w14:textId="77777777" w:rsidR="000D00D5" w:rsidRPr="000D00D5" w:rsidRDefault="000D00D5" w:rsidP="000D00D5">
            <w:pPr>
              <w:jc w:val="both"/>
              <w:rPr>
                <w:rFonts w:ascii="Arial" w:hAnsi="Arial" w:cs="Arial"/>
                <w:sz w:val="16"/>
                <w:szCs w:val="16"/>
              </w:rPr>
            </w:pPr>
            <w:r w:rsidRPr="000D00D5">
              <w:rPr>
                <w:rFonts w:ascii="Arial" w:hAnsi="Arial" w:cs="Arial"/>
                <w:sz w:val="16"/>
                <w:szCs w:val="16"/>
              </w:rPr>
              <w:t xml:space="preserve">Gala Díaz Curiel </w:t>
            </w:r>
          </w:p>
          <w:p w14:paraId="65B87DC6" w14:textId="77777777" w:rsidR="000D00D5" w:rsidRPr="000D00D5" w:rsidRDefault="000D00D5" w:rsidP="000D00D5">
            <w:pPr>
              <w:jc w:val="both"/>
              <w:rPr>
                <w:rFonts w:ascii="Arial" w:hAnsi="Arial" w:cs="Arial"/>
                <w:sz w:val="16"/>
                <w:szCs w:val="16"/>
              </w:rPr>
            </w:pPr>
            <w:r w:rsidRPr="000D00D5">
              <w:rPr>
                <w:rFonts w:ascii="Arial" w:hAnsi="Arial" w:cs="Arial"/>
                <w:sz w:val="16"/>
                <w:szCs w:val="16"/>
              </w:rPr>
              <w:t>607 35 33 49</w:t>
            </w:r>
          </w:p>
          <w:p w14:paraId="71BE04B8" w14:textId="77777777" w:rsidR="000D00D5" w:rsidRPr="000D00D5" w:rsidRDefault="000D00D5" w:rsidP="000D00D5">
            <w:pPr>
              <w:jc w:val="both"/>
              <w:rPr>
                <w:rFonts w:ascii="Arial" w:hAnsi="Arial" w:cs="Arial"/>
                <w:sz w:val="16"/>
                <w:szCs w:val="16"/>
                <w:u w:val="single"/>
              </w:rPr>
            </w:pPr>
            <w:hyperlink r:id="rId13" w:history="1">
              <w:r w:rsidRPr="000D00D5">
                <w:rPr>
                  <w:rStyle w:val="Hipervnculo"/>
                  <w:rFonts w:ascii="Arial" w:hAnsi="Arial" w:cs="Arial"/>
                  <w:sz w:val="16"/>
                  <w:szCs w:val="16"/>
                </w:rPr>
                <w:t>gala.diaz@manpowergroup.es</w:t>
              </w:r>
            </w:hyperlink>
          </w:p>
          <w:p w14:paraId="2BFA7ACC" w14:textId="77777777" w:rsidR="000D00D5" w:rsidRDefault="000D00D5" w:rsidP="00721B40">
            <w:pPr>
              <w:jc w:val="both"/>
              <w:rPr>
                <w:rFonts w:ascii="Arial" w:hAnsi="Arial" w:cs="Arial"/>
                <w:sz w:val="16"/>
                <w:szCs w:val="16"/>
              </w:rPr>
            </w:pPr>
          </w:p>
          <w:p w14:paraId="13CBCB15" w14:textId="04362372" w:rsidR="00761D60" w:rsidRPr="00761D60" w:rsidRDefault="00761D60" w:rsidP="00721B40">
            <w:pPr>
              <w:jc w:val="both"/>
              <w:rPr>
                <w:rFonts w:ascii="Arial" w:hAnsi="Arial" w:cs="Arial"/>
                <w:sz w:val="16"/>
                <w:szCs w:val="16"/>
              </w:rPr>
            </w:pPr>
            <w:r w:rsidRPr="00761D60">
              <w:rPr>
                <w:rFonts w:ascii="Arial" w:hAnsi="Arial" w:cs="Arial"/>
                <w:sz w:val="16"/>
                <w:szCs w:val="16"/>
              </w:rPr>
              <w:t>Juan Gómez Rodríguez</w:t>
            </w:r>
          </w:p>
          <w:p w14:paraId="0C3AABE4" w14:textId="77777777" w:rsidR="00761D60" w:rsidRPr="00F51FFC" w:rsidRDefault="00761D60" w:rsidP="00721B40">
            <w:pPr>
              <w:jc w:val="both"/>
              <w:rPr>
                <w:rFonts w:ascii="Arial" w:hAnsi="Arial" w:cs="Arial"/>
                <w:sz w:val="16"/>
                <w:szCs w:val="16"/>
                <w:lang w:val="de-DE"/>
              </w:rPr>
            </w:pPr>
            <w:r w:rsidRPr="00F51FFC">
              <w:rPr>
                <w:rFonts w:ascii="Arial" w:hAnsi="Arial" w:cs="Arial"/>
                <w:sz w:val="16"/>
                <w:szCs w:val="16"/>
                <w:lang w:val="de-DE"/>
              </w:rPr>
              <w:t>Tel. 687 51 96 90</w:t>
            </w:r>
          </w:p>
          <w:p w14:paraId="41E0F357" w14:textId="77777777" w:rsidR="00761D60" w:rsidRPr="00F51FFC" w:rsidRDefault="00761D60" w:rsidP="00721B40">
            <w:pPr>
              <w:jc w:val="both"/>
              <w:rPr>
                <w:rFonts w:ascii="Arial" w:hAnsi="Arial" w:cs="Arial"/>
                <w:sz w:val="16"/>
                <w:szCs w:val="16"/>
                <w:lang w:val="de-DE"/>
              </w:rPr>
            </w:pPr>
            <w:hyperlink r:id="rId14" w:history="1">
              <w:r w:rsidRPr="00F51FFC">
                <w:rPr>
                  <w:rStyle w:val="Hipervnculo"/>
                  <w:rFonts w:ascii="Arial" w:hAnsi="Arial" w:cs="Arial"/>
                  <w:sz w:val="16"/>
                  <w:szCs w:val="16"/>
                  <w:lang w:val="de-DE"/>
                </w:rPr>
                <w:t>juan.gomez@manpowergroup.es</w:t>
              </w:r>
            </w:hyperlink>
          </w:p>
        </w:tc>
      </w:tr>
      <w:bookmarkEnd w:id="10"/>
    </w:tbl>
    <w:p w14:paraId="0F55B214" w14:textId="77777777" w:rsidR="008E54AD" w:rsidRPr="00F51FFC" w:rsidRDefault="008E54AD" w:rsidP="00090345">
      <w:pPr>
        <w:tabs>
          <w:tab w:val="right" w:pos="8838"/>
        </w:tabs>
        <w:autoSpaceDE w:val="0"/>
        <w:autoSpaceDN w:val="0"/>
        <w:adjustRightInd w:val="0"/>
        <w:jc w:val="both"/>
        <w:rPr>
          <w:rFonts w:ascii="Arial" w:hAnsi="Arial" w:cs="Arial"/>
          <w:b/>
          <w:bCs/>
          <w:sz w:val="16"/>
          <w:szCs w:val="16"/>
          <w:lang w:val="de-DE"/>
        </w:rPr>
      </w:pPr>
    </w:p>
    <w:sectPr w:rsidR="008E54AD" w:rsidRPr="00F51FFC" w:rsidSect="006A2051">
      <w:headerReference w:type="default" r:id="rId15"/>
      <w:footerReference w:type="even" r:id="rId16"/>
      <w:footerReference w:type="default" r:id="rId17"/>
      <w:pgSz w:w="11907" w:h="16840" w:code="9"/>
      <w:pgMar w:top="1985" w:right="1418" w:bottom="1701" w:left="1418"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92665" w14:textId="77777777" w:rsidR="00C91309" w:rsidRDefault="00C91309">
      <w:r>
        <w:separator/>
      </w:r>
    </w:p>
  </w:endnote>
  <w:endnote w:type="continuationSeparator" w:id="0">
    <w:p w14:paraId="33869B49" w14:textId="77777777" w:rsidR="00C91309" w:rsidRDefault="00C9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2012" w14:textId="0A177C38" w:rsidR="00FB1381" w:rsidRDefault="00346E05" w:rsidP="00F01B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15B32">
      <w:rPr>
        <w:rStyle w:val="Nmerodepgina"/>
        <w:noProof/>
      </w:rPr>
      <w:t>2</w:t>
    </w:r>
    <w:r>
      <w:rPr>
        <w:rStyle w:val="Nmerodepgina"/>
      </w:rPr>
      <w:fldChar w:fldCharType="end"/>
    </w:r>
  </w:p>
  <w:p w14:paraId="15552DA8" w14:textId="77777777" w:rsidR="00FB1381" w:rsidRDefault="00FB1381" w:rsidP="003E26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A3F9" w14:textId="77777777" w:rsidR="006A2051" w:rsidRDefault="006A2051" w:rsidP="006A2051">
    <w:pPr>
      <w:pStyle w:val="Piedepgina"/>
      <w:ind w:right="360"/>
    </w:pPr>
  </w:p>
  <w:p w14:paraId="23873518" w14:textId="1FDA2006" w:rsidR="00FB1381" w:rsidRDefault="006A2051" w:rsidP="006A2051">
    <w:pPr>
      <w:pStyle w:val="Piedepgina"/>
      <w:jc w:val="center"/>
    </w:pPr>
    <w:bookmarkStart w:id="15" w:name="_Hlk198035490"/>
    <w:bookmarkStart w:id="16" w:name="_Hlk198035491"/>
    <w:bookmarkStart w:id="17" w:name="_Hlk216197226"/>
    <w:bookmarkStart w:id="18" w:name="_Hlk216197227"/>
    <w:bookmarkStart w:id="19" w:name="_Hlk216197230"/>
    <w:bookmarkStart w:id="20" w:name="_Hlk216197231"/>
    <w:r>
      <w:rPr>
        <w:noProof/>
      </w:rPr>
      <w:drawing>
        <wp:inline distT="0" distB="0" distL="0" distR="0" wp14:anchorId="34E708A4" wp14:editId="1E433E57">
          <wp:extent cx="4493260" cy="734455"/>
          <wp:effectExtent l="0" t="0" r="2540" b="0"/>
          <wp:docPr id="2040554999"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54999" name="Imagen 1" descr="Interfaz de usuario gráfica, Aplicación&#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4186" cy="736241"/>
                  </a:xfrm>
                  <a:prstGeom prst="rect">
                    <a:avLst/>
                  </a:prstGeom>
                  <a:noFill/>
                </pic:spPr>
              </pic:pic>
            </a:graphicData>
          </a:graphic>
        </wp:inline>
      </w:drawing>
    </w:r>
    <w:bookmarkEnd w:id="15"/>
    <w:bookmarkEnd w:id="16"/>
    <w:bookmarkEnd w:id="17"/>
    <w:bookmarkEnd w:id="18"/>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6FAFA" w14:textId="77777777" w:rsidR="00C91309" w:rsidRDefault="00C91309">
      <w:r>
        <w:separator/>
      </w:r>
    </w:p>
  </w:footnote>
  <w:footnote w:type="continuationSeparator" w:id="0">
    <w:p w14:paraId="27DA315C" w14:textId="77777777" w:rsidR="00C91309" w:rsidRDefault="00C9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68A9" w14:textId="12BA7019" w:rsidR="006A2051" w:rsidRDefault="006A2051" w:rsidP="00F34829">
    <w:pPr>
      <w:pStyle w:val="Encabezado"/>
      <w:rPr>
        <w:rFonts w:ascii="Verdana" w:hAnsi="Verdana"/>
        <w:noProof/>
        <w:color w:val="616161"/>
        <w:sz w:val="14"/>
        <w:szCs w:val="14"/>
      </w:rPr>
    </w:pPr>
    <w:bookmarkStart w:id="11" w:name="_Hlk216197163"/>
    <w:bookmarkStart w:id="12" w:name="_Hlk216197164"/>
    <w:bookmarkStart w:id="13" w:name="_Hlk216197174"/>
    <w:bookmarkStart w:id="14" w:name="_Hlk216197175"/>
    <w:r>
      <w:rPr>
        <w:noProof/>
      </w:rPr>
      <w:drawing>
        <wp:anchor distT="0" distB="0" distL="114300" distR="114300" simplePos="0" relativeHeight="251659264" behindDoc="0" locked="0" layoutInCell="1" allowOverlap="1" wp14:anchorId="311DCD64" wp14:editId="32674B57">
          <wp:simplePos x="0" y="0"/>
          <wp:positionH relativeFrom="margin">
            <wp:align>right</wp:align>
          </wp:positionH>
          <wp:positionV relativeFrom="paragraph">
            <wp:posOffset>3810</wp:posOffset>
          </wp:positionV>
          <wp:extent cx="1234440" cy="666750"/>
          <wp:effectExtent l="0" t="0" r="3810" b="0"/>
          <wp:wrapSquare wrapText="bothSides"/>
          <wp:docPr id="3" name="Imagen 3"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1"/>
                  <a:srcRect/>
                  <a:stretch>
                    <a:fillRect/>
                  </a:stretch>
                </pic:blipFill>
                <pic:spPr bwMode="auto">
                  <a:xfrm>
                    <a:off x="0" y="0"/>
                    <a:ext cx="1234440" cy="666750"/>
                  </a:xfrm>
                  <a:prstGeom prst="rect">
                    <a:avLst/>
                  </a:prstGeom>
                  <a:noFill/>
                </pic:spPr>
              </pic:pic>
            </a:graphicData>
          </a:graphic>
        </wp:anchor>
      </w:drawing>
    </w:r>
    <w:r w:rsidR="009C6E19" w:rsidRPr="009C6E19">
      <w:rPr>
        <w:rFonts w:ascii="Verdana" w:hAnsi="Verdana"/>
        <w:noProof/>
        <w:color w:val="616161"/>
        <w:sz w:val="14"/>
        <w:szCs w:val="14"/>
      </w:rPr>
      <w:drawing>
        <wp:inline distT="0" distB="0" distL="0" distR="0" wp14:anchorId="111AF847" wp14:editId="46A165F5">
          <wp:extent cx="1276350" cy="645024"/>
          <wp:effectExtent l="0" t="0" r="0" b="0"/>
          <wp:docPr id="9" name="Imagen 8" descr="Imagen que contiene interior, computer, computadora, tabla&#10;&#10;El contenido generado por IA puede ser incorrecto.">
            <a:extLst xmlns:a="http://schemas.openxmlformats.org/drawingml/2006/main">
              <a:ext uri="{FF2B5EF4-FFF2-40B4-BE49-F238E27FC236}">
                <a16:creationId xmlns:a16="http://schemas.microsoft.com/office/drawing/2014/main" id="{C519F803-7F59-48E3-ADDB-CB9C21B328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Imagen que contiene interior, computer, computadora, tabla&#10;&#10;El contenido generado por IA puede ser incorrecto.">
                    <a:extLst>
                      <a:ext uri="{FF2B5EF4-FFF2-40B4-BE49-F238E27FC236}">
                        <a16:creationId xmlns:a16="http://schemas.microsoft.com/office/drawing/2014/main" id="{C519F803-7F59-48E3-ADDB-CB9C21B32890}"/>
                      </a:ext>
                    </a:extLst>
                  </pic:cNvPr>
                  <pic:cNvPicPr>
                    <a:picLocks noChangeAspect="1"/>
                  </pic:cNvPicPr>
                </pic:nvPicPr>
                <pic:blipFill>
                  <a:blip r:embed="rId2" cstate="print">
                    <a:extLst>
                      <a:ext uri="{28A0092B-C50C-407E-A947-70E740481C1C}">
                        <a14:useLocalDpi xmlns:a14="http://schemas.microsoft.com/office/drawing/2010/main"/>
                      </a:ext>
                    </a:extLst>
                  </a:blip>
                  <a:stretch>
                    <a:fillRect/>
                  </a:stretch>
                </pic:blipFill>
                <pic:spPr>
                  <a:xfrm>
                    <a:off x="0" y="0"/>
                    <a:ext cx="1284794" cy="649291"/>
                  </a:xfrm>
                  <a:prstGeom prst="rect">
                    <a:avLst/>
                  </a:prstGeom>
                </pic:spPr>
              </pic:pic>
            </a:graphicData>
          </a:graphic>
        </wp:inline>
      </w:drawing>
    </w:r>
  </w:p>
  <w:p w14:paraId="609D24D9" w14:textId="77777777" w:rsidR="006A2051" w:rsidRDefault="006A2051" w:rsidP="00F34829">
    <w:pPr>
      <w:pStyle w:val="Encabezado"/>
      <w:rPr>
        <w:rFonts w:ascii="Verdana" w:hAnsi="Verdana"/>
        <w:noProof/>
        <w:color w:val="616161"/>
        <w:sz w:val="14"/>
        <w:szCs w:val="14"/>
      </w:rPr>
    </w:pPr>
  </w:p>
  <w:p w14:paraId="477BC6CD" w14:textId="77777777" w:rsidR="006A2051" w:rsidRDefault="006A2051" w:rsidP="00F34829">
    <w:pPr>
      <w:pStyle w:val="Encabezado"/>
      <w:rPr>
        <w:rFonts w:ascii="Verdana" w:hAnsi="Verdana"/>
        <w:noProof/>
        <w:color w:val="616161"/>
        <w:sz w:val="14"/>
        <w:szCs w:val="14"/>
      </w:rPr>
    </w:pPr>
  </w:p>
  <w:bookmarkEnd w:id="11"/>
  <w:bookmarkEnd w:id="12"/>
  <w:bookmarkEnd w:id="13"/>
  <w:bookmarkEnd w:id="14"/>
  <w:p w14:paraId="054F2965" w14:textId="1823066E" w:rsidR="00FB1381" w:rsidRDefault="00FB1381" w:rsidP="00F34829">
    <w:pPr>
      <w:pStyle w:val="Encabezado"/>
      <w:rPr>
        <w:rFonts w:ascii="Verdana" w:hAnsi="Verdana"/>
        <w:noProof/>
        <w:color w:val="616161"/>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139DA"/>
    <w:multiLevelType w:val="multilevel"/>
    <w:tmpl w:val="1B66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E1CB6"/>
    <w:multiLevelType w:val="hybridMultilevel"/>
    <w:tmpl w:val="4746DF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D967AF"/>
    <w:multiLevelType w:val="hybridMultilevel"/>
    <w:tmpl w:val="0764FA5E"/>
    <w:lvl w:ilvl="0" w:tplc="160E84D8">
      <w:start w:val="6"/>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673344"/>
    <w:multiLevelType w:val="hybridMultilevel"/>
    <w:tmpl w:val="D04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B16124"/>
    <w:multiLevelType w:val="hybridMultilevel"/>
    <w:tmpl w:val="EBE2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B325BE6"/>
    <w:multiLevelType w:val="hybridMultilevel"/>
    <w:tmpl w:val="FFFFFFFF"/>
    <w:lvl w:ilvl="0" w:tplc="942CD6F0">
      <w:start w:val="1"/>
      <w:numFmt w:val="bullet"/>
      <w:lvlText w:val=""/>
      <w:lvlJc w:val="left"/>
      <w:pPr>
        <w:ind w:left="1080" w:hanging="360"/>
      </w:pPr>
      <w:rPr>
        <w:rFonts w:ascii="Symbol" w:hAnsi="Symbol" w:hint="default"/>
      </w:rPr>
    </w:lvl>
    <w:lvl w:ilvl="1" w:tplc="342247BC">
      <w:start w:val="1"/>
      <w:numFmt w:val="bullet"/>
      <w:lvlText w:val="o"/>
      <w:lvlJc w:val="left"/>
      <w:pPr>
        <w:ind w:left="1800" w:hanging="360"/>
      </w:pPr>
      <w:rPr>
        <w:rFonts w:ascii="Courier New" w:hAnsi="Courier New" w:hint="default"/>
      </w:rPr>
    </w:lvl>
    <w:lvl w:ilvl="2" w:tplc="80328BA4">
      <w:start w:val="1"/>
      <w:numFmt w:val="bullet"/>
      <w:lvlText w:val=""/>
      <w:lvlJc w:val="left"/>
      <w:pPr>
        <w:ind w:left="2520" w:hanging="360"/>
      </w:pPr>
      <w:rPr>
        <w:rFonts w:ascii="Wingdings" w:hAnsi="Wingdings" w:hint="default"/>
      </w:rPr>
    </w:lvl>
    <w:lvl w:ilvl="3" w:tplc="A2BC7A2E">
      <w:start w:val="1"/>
      <w:numFmt w:val="bullet"/>
      <w:lvlText w:val=""/>
      <w:lvlJc w:val="left"/>
      <w:pPr>
        <w:ind w:left="3240" w:hanging="360"/>
      </w:pPr>
      <w:rPr>
        <w:rFonts w:ascii="Symbol" w:hAnsi="Symbol" w:hint="default"/>
      </w:rPr>
    </w:lvl>
    <w:lvl w:ilvl="4" w:tplc="BD5CFF32">
      <w:start w:val="1"/>
      <w:numFmt w:val="bullet"/>
      <w:lvlText w:val="o"/>
      <w:lvlJc w:val="left"/>
      <w:pPr>
        <w:ind w:left="3960" w:hanging="360"/>
      </w:pPr>
      <w:rPr>
        <w:rFonts w:ascii="Courier New" w:hAnsi="Courier New" w:hint="default"/>
      </w:rPr>
    </w:lvl>
    <w:lvl w:ilvl="5" w:tplc="DF8815AA">
      <w:start w:val="1"/>
      <w:numFmt w:val="bullet"/>
      <w:lvlText w:val=""/>
      <w:lvlJc w:val="left"/>
      <w:pPr>
        <w:ind w:left="4680" w:hanging="360"/>
      </w:pPr>
      <w:rPr>
        <w:rFonts w:ascii="Wingdings" w:hAnsi="Wingdings" w:hint="default"/>
      </w:rPr>
    </w:lvl>
    <w:lvl w:ilvl="6" w:tplc="9670EC9C">
      <w:start w:val="1"/>
      <w:numFmt w:val="bullet"/>
      <w:lvlText w:val=""/>
      <w:lvlJc w:val="left"/>
      <w:pPr>
        <w:ind w:left="5400" w:hanging="360"/>
      </w:pPr>
      <w:rPr>
        <w:rFonts w:ascii="Symbol" w:hAnsi="Symbol" w:hint="default"/>
      </w:rPr>
    </w:lvl>
    <w:lvl w:ilvl="7" w:tplc="E33AC33A">
      <w:start w:val="1"/>
      <w:numFmt w:val="bullet"/>
      <w:lvlText w:val="o"/>
      <w:lvlJc w:val="left"/>
      <w:pPr>
        <w:ind w:left="6120" w:hanging="360"/>
      </w:pPr>
      <w:rPr>
        <w:rFonts w:ascii="Courier New" w:hAnsi="Courier New" w:hint="default"/>
      </w:rPr>
    </w:lvl>
    <w:lvl w:ilvl="8" w:tplc="0602FD5C">
      <w:start w:val="1"/>
      <w:numFmt w:val="bullet"/>
      <w:lvlText w:val=""/>
      <w:lvlJc w:val="left"/>
      <w:pPr>
        <w:ind w:left="6840" w:hanging="360"/>
      </w:pPr>
      <w:rPr>
        <w:rFonts w:ascii="Wingdings" w:hAnsi="Wingdings" w:hint="default"/>
      </w:rPr>
    </w:lvl>
  </w:abstractNum>
  <w:abstractNum w:abstractNumId="6" w15:restartNumberingAfterBreak="0">
    <w:nsid w:val="66C97E4C"/>
    <w:multiLevelType w:val="hybridMultilevel"/>
    <w:tmpl w:val="EDE8966A"/>
    <w:lvl w:ilvl="0" w:tplc="F4A4D594">
      <w:start w:val="1"/>
      <w:numFmt w:val="bullet"/>
      <w:lvlText w:val="•"/>
      <w:lvlJc w:val="left"/>
      <w:pPr>
        <w:tabs>
          <w:tab w:val="num" w:pos="720"/>
        </w:tabs>
        <w:ind w:left="720" w:hanging="360"/>
      </w:pPr>
      <w:rPr>
        <w:rFonts w:ascii="Arial" w:hAnsi="Arial" w:hint="default"/>
      </w:rPr>
    </w:lvl>
    <w:lvl w:ilvl="1" w:tplc="0D70D224" w:tentative="1">
      <w:start w:val="1"/>
      <w:numFmt w:val="bullet"/>
      <w:lvlText w:val="•"/>
      <w:lvlJc w:val="left"/>
      <w:pPr>
        <w:tabs>
          <w:tab w:val="num" w:pos="1440"/>
        </w:tabs>
        <w:ind w:left="1440" w:hanging="360"/>
      </w:pPr>
      <w:rPr>
        <w:rFonts w:ascii="Arial" w:hAnsi="Arial" w:hint="default"/>
      </w:rPr>
    </w:lvl>
    <w:lvl w:ilvl="2" w:tplc="6B6A35D2" w:tentative="1">
      <w:start w:val="1"/>
      <w:numFmt w:val="bullet"/>
      <w:lvlText w:val="•"/>
      <w:lvlJc w:val="left"/>
      <w:pPr>
        <w:tabs>
          <w:tab w:val="num" w:pos="2160"/>
        </w:tabs>
        <w:ind w:left="2160" w:hanging="360"/>
      </w:pPr>
      <w:rPr>
        <w:rFonts w:ascii="Arial" w:hAnsi="Arial" w:hint="default"/>
      </w:rPr>
    </w:lvl>
    <w:lvl w:ilvl="3" w:tplc="2BC0E038" w:tentative="1">
      <w:start w:val="1"/>
      <w:numFmt w:val="bullet"/>
      <w:lvlText w:val="•"/>
      <w:lvlJc w:val="left"/>
      <w:pPr>
        <w:tabs>
          <w:tab w:val="num" w:pos="2880"/>
        </w:tabs>
        <w:ind w:left="2880" w:hanging="360"/>
      </w:pPr>
      <w:rPr>
        <w:rFonts w:ascii="Arial" w:hAnsi="Arial" w:hint="default"/>
      </w:rPr>
    </w:lvl>
    <w:lvl w:ilvl="4" w:tplc="64E4E368" w:tentative="1">
      <w:start w:val="1"/>
      <w:numFmt w:val="bullet"/>
      <w:lvlText w:val="•"/>
      <w:lvlJc w:val="left"/>
      <w:pPr>
        <w:tabs>
          <w:tab w:val="num" w:pos="3600"/>
        </w:tabs>
        <w:ind w:left="3600" w:hanging="360"/>
      </w:pPr>
      <w:rPr>
        <w:rFonts w:ascii="Arial" w:hAnsi="Arial" w:hint="default"/>
      </w:rPr>
    </w:lvl>
    <w:lvl w:ilvl="5" w:tplc="901CFF92" w:tentative="1">
      <w:start w:val="1"/>
      <w:numFmt w:val="bullet"/>
      <w:lvlText w:val="•"/>
      <w:lvlJc w:val="left"/>
      <w:pPr>
        <w:tabs>
          <w:tab w:val="num" w:pos="4320"/>
        </w:tabs>
        <w:ind w:left="4320" w:hanging="360"/>
      </w:pPr>
      <w:rPr>
        <w:rFonts w:ascii="Arial" w:hAnsi="Arial" w:hint="default"/>
      </w:rPr>
    </w:lvl>
    <w:lvl w:ilvl="6" w:tplc="13F62D06" w:tentative="1">
      <w:start w:val="1"/>
      <w:numFmt w:val="bullet"/>
      <w:lvlText w:val="•"/>
      <w:lvlJc w:val="left"/>
      <w:pPr>
        <w:tabs>
          <w:tab w:val="num" w:pos="5040"/>
        </w:tabs>
        <w:ind w:left="5040" w:hanging="360"/>
      </w:pPr>
      <w:rPr>
        <w:rFonts w:ascii="Arial" w:hAnsi="Arial" w:hint="default"/>
      </w:rPr>
    </w:lvl>
    <w:lvl w:ilvl="7" w:tplc="B52E3C72" w:tentative="1">
      <w:start w:val="1"/>
      <w:numFmt w:val="bullet"/>
      <w:lvlText w:val="•"/>
      <w:lvlJc w:val="left"/>
      <w:pPr>
        <w:tabs>
          <w:tab w:val="num" w:pos="5760"/>
        </w:tabs>
        <w:ind w:left="5760" w:hanging="360"/>
      </w:pPr>
      <w:rPr>
        <w:rFonts w:ascii="Arial" w:hAnsi="Arial" w:hint="default"/>
      </w:rPr>
    </w:lvl>
    <w:lvl w:ilvl="8" w:tplc="6F9C13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B373D7B"/>
    <w:multiLevelType w:val="hybridMultilevel"/>
    <w:tmpl w:val="013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806777">
    <w:abstractNumId w:val="2"/>
  </w:num>
  <w:num w:numId="2" w16cid:durableId="1342783302">
    <w:abstractNumId w:val="5"/>
  </w:num>
  <w:num w:numId="3" w16cid:durableId="305208792">
    <w:abstractNumId w:val="4"/>
  </w:num>
  <w:num w:numId="4" w16cid:durableId="126244196">
    <w:abstractNumId w:val="3"/>
  </w:num>
  <w:num w:numId="5" w16cid:durableId="1245341768">
    <w:abstractNumId w:val="7"/>
  </w:num>
  <w:num w:numId="6" w16cid:durableId="597829097">
    <w:abstractNumId w:val="6"/>
  </w:num>
  <w:num w:numId="7" w16cid:durableId="2127692794">
    <w:abstractNumId w:val="0"/>
  </w:num>
  <w:num w:numId="8" w16cid:durableId="2060670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76"/>
    <w:rsid w:val="00006233"/>
    <w:rsid w:val="000068C6"/>
    <w:rsid w:val="000074CA"/>
    <w:rsid w:val="000101F6"/>
    <w:rsid w:val="000122ED"/>
    <w:rsid w:val="0001254E"/>
    <w:rsid w:val="000166E0"/>
    <w:rsid w:val="00017815"/>
    <w:rsid w:val="000207C8"/>
    <w:rsid w:val="000258CF"/>
    <w:rsid w:val="00027080"/>
    <w:rsid w:val="00030253"/>
    <w:rsid w:val="00030508"/>
    <w:rsid w:val="000310B8"/>
    <w:rsid w:val="00032572"/>
    <w:rsid w:val="0003516C"/>
    <w:rsid w:val="0004003B"/>
    <w:rsid w:val="00042488"/>
    <w:rsid w:val="00043926"/>
    <w:rsid w:val="00047806"/>
    <w:rsid w:val="000507C4"/>
    <w:rsid w:val="00063579"/>
    <w:rsid w:val="00064008"/>
    <w:rsid w:val="00066C14"/>
    <w:rsid w:val="000752A6"/>
    <w:rsid w:val="0008054F"/>
    <w:rsid w:val="000869A2"/>
    <w:rsid w:val="00090345"/>
    <w:rsid w:val="000915ED"/>
    <w:rsid w:val="00092740"/>
    <w:rsid w:val="00092CF0"/>
    <w:rsid w:val="00096272"/>
    <w:rsid w:val="00097055"/>
    <w:rsid w:val="000A1973"/>
    <w:rsid w:val="000A1EBF"/>
    <w:rsid w:val="000A1F63"/>
    <w:rsid w:val="000A3669"/>
    <w:rsid w:val="000A5406"/>
    <w:rsid w:val="000A7606"/>
    <w:rsid w:val="000A7DFE"/>
    <w:rsid w:val="000C12D2"/>
    <w:rsid w:val="000C1F4F"/>
    <w:rsid w:val="000C326C"/>
    <w:rsid w:val="000C41F9"/>
    <w:rsid w:val="000D00D5"/>
    <w:rsid w:val="000D2B5A"/>
    <w:rsid w:val="000D573A"/>
    <w:rsid w:val="000D6AB6"/>
    <w:rsid w:val="000E191A"/>
    <w:rsid w:val="000E5074"/>
    <w:rsid w:val="000F11D7"/>
    <w:rsid w:val="000F269C"/>
    <w:rsid w:val="000F428E"/>
    <w:rsid w:val="000F4634"/>
    <w:rsid w:val="00103F84"/>
    <w:rsid w:val="0011607A"/>
    <w:rsid w:val="0012170F"/>
    <w:rsid w:val="00124DEA"/>
    <w:rsid w:val="00131287"/>
    <w:rsid w:val="001319E5"/>
    <w:rsid w:val="001324E2"/>
    <w:rsid w:val="00132EA5"/>
    <w:rsid w:val="00143E43"/>
    <w:rsid w:val="00143F63"/>
    <w:rsid w:val="001442A6"/>
    <w:rsid w:val="001463C1"/>
    <w:rsid w:val="00147F82"/>
    <w:rsid w:val="00151F63"/>
    <w:rsid w:val="00153505"/>
    <w:rsid w:val="00154F3A"/>
    <w:rsid w:val="0015531B"/>
    <w:rsid w:val="00156E14"/>
    <w:rsid w:val="00166FA8"/>
    <w:rsid w:val="00171AAA"/>
    <w:rsid w:val="001740C7"/>
    <w:rsid w:val="00175E3F"/>
    <w:rsid w:val="00177A71"/>
    <w:rsid w:val="00177CB8"/>
    <w:rsid w:val="00181155"/>
    <w:rsid w:val="00187625"/>
    <w:rsid w:val="00190E3D"/>
    <w:rsid w:val="0019492D"/>
    <w:rsid w:val="00195CAB"/>
    <w:rsid w:val="001A0832"/>
    <w:rsid w:val="001A2A76"/>
    <w:rsid w:val="001A332D"/>
    <w:rsid w:val="001A60DD"/>
    <w:rsid w:val="001A645B"/>
    <w:rsid w:val="001A645F"/>
    <w:rsid w:val="001B39AD"/>
    <w:rsid w:val="001C10B4"/>
    <w:rsid w:val="001C702D"/>
    <w:rsid w:val="001D5BD3"/>
    <w:rsid w:val="001E24E8"/>
    <w:rsid w:val="001E6322"/>
    <w:rsid w:val="001E7292"/>
    <w:rsid w:val="001F0731"/>
    <w:rsid w:val="001F2672"/>
    <w:rsid w:val="001F3A45"/>
    <w:rsid w:val="001F3E41"/>
    <w:rsid w:val="001F5777"/>
    <w:rsid w:val="001F7ADD"/>
    <w:rsid w:val="00204B99"/>
    <w:rsid w:val="00204E64"/>
    <w:rsid w:val="002059D2"/>
    <w:rsid w:val="00205D68"/>
    <w:rsid w:val="0021069A"/>
    <w:rsid w:val="00212129"/>
    <w:rsid w:val="002246BA"/>
    <w:rsid w:val="00224DE1"/>
    <w:rsid w:val="00231877"/>
    <w:rsid w:val="002331A8"/>
    <w:rsid w:val="00235658"/>
    <w:rsid w:val="0024317A"/>
    <w:rsid w:val="00252A0D"/>
    <w:rsid w:val="00261409"/>
    <w:rsid w:val="00264632"/>
    <w:rsid w:val="00271614"/>
    <w:rsid w:val="00274A5D"/>
    <w:rsid w:val="0027680B"/>
    <w:rsid w:val="00281944"/>
    <w:rsid w:val="00294475"/>
    <w:rsid w:val="002A1959"/>
    <w:rsid w:val="002A1C04"/>
    <w:rsid w:val="002A2DD5"/>
    <w:rsid w:val="002A3D92"/>
    <w:rsid w:val="002A78A1"/>
    <w:rsid w:val="002B3F52"/>
    <w:rsid w:val="002C01E7"/>
    <w:rsid w:val="002C02D9"/>
    <w:rsid w:val="002D032D"/>
    <w:rsid w:val="002E1864"/>
    <w:rsid w:val="002E285C"/>
    <w:rsid w:val="002E2F04"/>
    <w:rsid w:val="002E4A5C"/>
    <w:rsid w:val="002E5E6F"/>
    <w:rsid w:val="002F2E0A"/>
    <w:rsid w:val="002F4816"/>
    <w:rsid w:val="003006FC"/>
    <w:rsid w:val="003019C9"/>
    <w:rsid w:val="003108C5"/>
    <w:rsid w:val="00310DC4"/>
    <w:rsid w:val="0031490C"/>
    <w:rsid w:val="00321F4F"/>
    <w:rsid w:val="0032424C"/>
    <w:rsid w:val="00326089"/>
    <w:rsid w:val="00326125"/>
    <w:rsid w:val="00326FC2"/>
    <w:rsid w:val="00331310"/>
    <w:rsid w:val="00332D02"/>
    <w:rsid w:val="00336187"/>
    <w:rsid w:val="00337FD2"/>
    <w:rsid w:val="00344595"/>
    <w:rsid w:val="00346E05"/>
    <w:rsid w:val="003470C8"/>
    <w:rsid w:val="003509A5"/>
    <w:rsid w:val="0036538C"/>
    <w:rsid w:val="003657F6"/>
    <w:rsid w:val="00380B8C"/>
    <w:rsid w:val="003837E6"/>
    <w:rsid w:val="00383F58"/>
    <w:rsid w:val="00390D3C"/>
    <w:rsid w:val="003933D5"/>
    <w:rsid w:val="003A214F"/>
    <w:rsid w:val="003A27B7"/>
    <w:rsid w:val="003A2B29"/>
    <w:rsid w:val="003A49AD"/>
    <w:rsid w:val="003A5A50"/>
    <w:rsid w:val="003A6138"/>
    <w:rsid w:val="003B07C9"/>
    <w:rsid w:val="003B0C6F"/>
    <w:rsid w:val="003C2224"/>
    <w:rsid w:val="003C61D6"/>
    <w:rsid w:val="003C6EC8"/>
    <w:rsid w:val="003D0E85"/>
    <w:rsid w:val="003D4F9E"/>
    <w:rsid w:val="003D6B89"/>
    <w:rsid w:val="003E371D"/>
    <w:rsid w:val="003F1121"/>
    <w:rsid w:val="00401989"/>
    <w:rsid w:val="00407AD8"/>
    <w:rsid w:val="0041325B"/>
    <w:rsid w:val="0041488B"/>
    <w:rsid w:val="00414B22"/>
    <w:rsid w:val="00415A6A"/>
    <w:rsid w:val="00416931"/>
    <w:rsid w:val="00424DEC"/>
    <w:rsid w:val="00425DEE"/>
    <w:rsid w:val="0043086E"/>
    <w:rsid w:val="0044035B"/>
    <w:rsid w:val="00441AA5"/>
    <w:rsid w:val="00443A21"/>
    <w:rsid w:val="00456993"/>
    <w:rsid w:val="004612C2"/>
    <w:rsid w:val="00475A4A"/>
    <w:rsid w:val="00485852"/>
    <w:rsid w:val="00485E70"/>
    <w:rsid w:val="00492239"/>
    <w:rsid w:val="00493CFD"/>
    <w:rsid w:val="004958BB"/>
    <w:rsid w:val="00497689"/>
    <w:rsid w:val="004B37C7"/>
    <w:rsid w:val="004B5032"/>
    <w:rsid w:val="004C0F40"/>
    <w:rsid w:val="004C607E"/>
    <w:rsid w:val="004C62C0"/>
    <w:rsid w:val="004C6DBC"/>
    <w:rsid w:val="004C7FBD"/>
    <w:rsid w:val="004D1FAF"/>
    <w:rsid w:val="004D4711"/>
    <w:rsid w:val="004D5F53"/>
    <w:rsid w:val="004E23C4"/>
    <w:rsid w:val="004E2530"/>
    <w:rsid w:val="004F67EC"/>
    <w:rsid w:val="004F7AE3"/>
    <w:rsid w:val="005050EF"/>
    <w:rsid w:val="00511519"/>
    <w:rsid w:val="00512001"/>
    <w:rsid w:val="005201CA"/>
    <w:rsid w:val="005229BB"/>
    <w:rsid w:val="00525188"/>
    <w:rsid w:val="00530474"/>
    <w:rsid w:val="00533536"/>
    <w:rsid w:val="00533EC8"/>
    <w:rsid w:val="00541A7B"/>
    <w:rsid w:val="00543126"/>
    <w:rsid w:val="005443A1"/>
    <w:rsid w:val="00546498"/>
    <w:rsid w:val="00547D42"/>
    <w:rsid w:val="005602DF"/>
    <w:rsid w:val="00561B53"/>
    <w:rsid w:val="005630A5"/>
    <w:rsid w:val="00576DDF"/>
    <w:rsid w:val="00577B92"/>
    <w:rsid w:val="0058531F"/>
    <w:rsid w:val="00590192"/>
    <w:rsid w:val="0059060D"/>
    <w:rsid w:val="005A7DB1"/>
    <w:rsid w:val="005A7E9C"/>
    <w:rsid w:val="005B0836"/>
    <w:rsid w:val="005B2218"/>
    <w:rsid w:val="005B243B"/>
    <w:rsid w:val="005B5B40"/>
    <w:rsid w:val="005B7CDC"/>
    <w:rsid w:val="005C33ED"/>
    <w:rsid w:val="005C4439"/>
    <w:rsid w:val="005C65B7"/>
    <w:rsid w:val="005D1AE9"/>
    <w:rsid w:val="005D5DC2"/>
    <w:rsid w:val="005E0E99"/>
    <w:rsid w:val="005E1842"/>
    <w:rsid w:val="005E249D"/>
    <w:rsid w:val="005E4173"/>
    <w:rsid w:val="005E54B0"/>
    <w:rsid w:val="005F1B79"/>
    <w:rsid w:val="005F1CEB"/>
    <w:rsid w:val="005F3998"/>
    <w:rsid w:val="005F5818"/>
    <w:rsid w:val="00600F24"/>
    <w:rsid w:val="0060110C"/>
    <w:rsid w:val="00610958"/>
    <w:rsid w:val="00617DAE"/>
    <w:rsid w:val="006210BA"/>
    <w:rsid w:val="006213E2"/>
    <w:rsid w:val="00624FC4"/>
    <w:rsid w:val="00640A0A"/>
    <w:rsid w:val="006421FF"/>
    <w:rsid w:val="0064466A"/>
    <w:rsid w:val="006515B4"/>
    <w:rsid w:val="00652342"/>
    <w:rsid w:val="006570E0"/>
    <w:rsid w:val="006602D5"/>
    <w:rsid w:val="00663580"/>
    <w:rsid w:val="006809AA"/>
    <w:rsid w:val="00681150"/>
    <w:rsid w:val="00685895"/>
    <w:rsid w:val="00685FB7"/>
    <w:rsid w:val="0068687C"/>
    <w:rsid w:val="00687087"/>
    <w:rsid w:val="0069236B"/>
    <w:rsid w:val="00694B11"/>
    <w:rsid w:val="00697039"/>
    <w:rsid w:val="006972C0"/>
    <w:rsid w:val="00697F32"/>
    <w:rsid w:val="006A1012"/>
    <w:rsid w:val="006A2051"/>
    <w:rsid w:val="006A7C62"/>
    <w:rsid w:val="006B0AED"/>
    <w:rsid w:val="006B6CC7"/>
    <w:rsid w:val="006B7478"/>
    <w:rsid w:val="006C49DB"/>
    <w:rsid w:val="006C5FFF"/>
    <w:rsid w:val="006C65CF"/>
    <w:rsid w:val="006D54CF"/>
    <w:rsid w:val="006E3790"/>
    <w:rsid w:val="006E3A61"/>
    <w:rsid w:val="006E6724"/>
    <w:rsid w:val="006E6A20"/>
    <w:rsid w:val="006E7E3E"/>
    <w:rsid w:val="0070035A"/>
    <w:rsid w:val="00701992"/>
    <w:rsid w:val="007038CB"/>
    <w:rsid w:val="0070547F"/>
    <w:rsid w:val="00710280"/>
    <w:rsid w:val="007140E7"/>
    <w:rsid w:val="007147B2"/>
    <w:rsid w:val="00715BBB"/>
    <w:rsid w:val="00720F29"/>
    <w:rsid w:val="0072269E"/>
    <w:rsid w:val="00731C5F"/>
    <w:rsid w:val="0074055B"/>
    <w:rsid w:val="00747CE2"/>
    <w:rsid w:val="00750181"/>
    <w:rsid w:val="00750C5B"/>
    <w:rsid w:val="0075276A"/>
    <w:rsid w:val="007546E1"/>
    <w:rsid w:val="0075620D"/>
    <w:rsid w:val="00761D60"/>
    <w:rsid w:val="00763C96"/>
    <w:rsid w:val="0076468C"/>
    <w:rsid w:val="00765378"/>
    <w:rsid w:val="00771088"/>
    <w:rsid w:val="00773069"/>
    <w:rsid w:val="00773536"/>
    <w:rsid w:val="00781148"/>
    <w:rsid w:val="00787F0D"/>
    <w:rsid w:val="00791D7D"/>
    <w:rsid w:val="00797695"/>
    <w:rsid w:val="007A0082"/>
    <w:rsid w:val="007A0CED"/>
    <w:rsid w:val="007A1361"/>
    <w:rsid w:val="007A2C20"/>
    <w:rsid w:val="007A5D95"/>
    <w:rsid w:val="007A74B1"/>
    <w:rsid w:val="007B0AFA"/>
    <w:rsid w:val="007B59D1"/>
    <w:rsid w:val="007B679F"/>
    <w:rsid w:val="007C1C1A"/>
    <w:rsid w:val="007C286C"/>
    <w:rsid w:val="007C33D5"/>
    <w:rsid w:val="007C3B5E"/>
    <w:rsid w:val="007E3CDF"/>
    <w:rsid w:val="007E50C2"/>
    <w:rsid w:val="007E5ED7"/>
    <w:rsid w:val="00801C70"/>
    <w:rsid w:val="00807311"/>
    <w:rsid w:val="00810D81"/>
    <w:rsid w:val="0081336C"/>
    <w:rsid w:val="00815B32"/>
    <w:rsid w:val="0081638E"/>
    <w:rsid w:val="00822154"/>
    <w:rsid w:val="0082306D"/>
    <w:rsid w:val="008236B4"/>
    <w:rsid w:val="00824B8D"/>
    <w:rsid w:val="00825CE9"/>
    <w:rsid w:val="00833581"/>
    <w:rsid w:val="00834898"/>
    <w:rsid w:val="00836F8E"/>
    <w:rsid w:val="00841381"/>
    <w:rsid w:val="00843A81"/>
    <w:rsid w:val="00853C2E"/>
    <w:rsid w:val="00853F4A"/>
    <w:rsid w:val="00854BFA"/>
    <w:rsid w:val="00857735"/>
    <w:rsid w:val="00857C81"/>
    <w:rsid w:val="00861B43"/>
    <w:rsid w:val="00861C2E"/>
    <w:rsid w:val="00867F26"/>
    <w:rsid w:val="008742C9"/>
    <w:rsid w:val="00874E5B"/>
    <w:rsid w:val="008756C2"/>
    <w:rsid w:val="008764B5"/>
    <w:rsid w:val="00881892"/>
    <w:rsid w:val="00882FCB"/>
    <w:rsid w:val="00885750"/>
    <w:rsid w:val="008861A5"/>
    <w:rsid w:val="00890CD3"/>
    <w:rsid w:val="0089190E"/>
    <w:rsid w:val="00894DEA"/>
    <w:rsid w:val="008A4224"/>
    <w:rsid w:val="008B0BEA"/>
    <w:rsid w:val="008B155B"/>
    <w:rsid w:val="008B71B4"/>
    <w:rsid w:val="008C0114"/>
    <w:rsid w:val="008C5AB0"/>
    <w:rsid w:val="008C7CF6"/>
    <w:rsid w:val="008C7DC2"/>
    <w:rsid w:val="008D27B6"/>
    <w:rsid w:val="008D2C81"/>
    <w:rsid w:val="008D39F2"/>
    <w:rsid w:val="008E048D"/>
    <w:rsid w:val="008E54AD"/>
    <w:rsid w:val="008E730B"/>
    <w:rsid w:val="008F077C"/>
    <w:rsid w:val="008F1B68"/>
    <w:rsid w:val="008F1BBD"/>
    <w:rsid w:val="008F1D05"/>
    <w:rsid w:val="00902BD1"/>
    <w:rsid w:val="00907542"/>
    <w:rsid w:val="00910200"/>
    <w:rsid w:val="009164C2"/>
    <w:rsid w:val="00925414"/>
    <w:rsid w:val="00926099"/>
    <w:rsid w:val="00926103"/>
    <w:rsid w:val="00927308"/>
    <w:rsid w:val="00932B40"/>
    <w:rsid w:val="00932CB7"/>
    <w:rsid w:val="00942998"/>
    <w:rsid w:val="009436E0"/>
    <w:rsid w:val="0094507D"/>
    <w:rsid w:val="00950D36"/>
    <w:rsid w:val="00952EA4"/>
    <w:rsid w:val="0095341D"/>
    <w:rsid w:val="00955E63"/>
    <w:rsid w:val="00956D9A"/>
    <w:rsid w:val="0096266D"/>
    <w:rsid w:val="00966C53"/>
    <w:rsid w:val="0097553E"/>
    <w:rsid w:val="00977BE7"/>
    <w:rsid w:val="00980677"/>
    <w:rsid w:val="00980C09"/>
    <w:rsid w:val="00981941"/>
    <w:rsid w:val="00983A48"/>
    <w:rsid w:val="00990852"/>
    <w:rsid w:val="009A0E87"/>
    <w:rsid w:val="009A1EB0"/>
    <w:rsid w:val="009A3526"/>
    <w:rsid w:val="009A4EA0"/>
    <w:rsid w:val="009A6F8A"/>
    <w:rsid w:val="009B5BB7"/>
    <w:rsid w:val="009B5E31"/>
    <w:rsid w:val="009B741B"/>
    <w:rsid w:val="009C2675"/>
    <w:rsid w:val="009C45C0"/>
    <w:rsid w:val="009C6314"/>
    <w:rsid w:val="009C6E19"/>
    <w:rsid w:val="009C7B80"/>
    <w:rsid w:val="009D3220"/>
    <w:rsid w:val="009D3CF7"/>
    <w:rsid w:val="009E06CC"/>
    <w:rsid w:val="009E4D15"/>
    <w:rsid w:val="009E6171"/>
    <w:rsid w:val="009F01EA"/>
    <w:rsid w:val="009F1332"/>
    <w:rsid w:val="009F315E"/>
    <w:rsid w:val="009F46C2"/>
    <w:rsid w:val="009F6C72"/>
    <w:rsid w:val="009F7DB9"/>
    <w:rsid w:val="009F7E1C"/>
    <w:rsid w:val="00A05766"/>
    <w:rsid w:val="00A11136"/>
    <w:rsid w:val="00A1647D"/>
    <w:rsid w:val="00A20F38"/>
    <w:rsid w:val="00A25658"/>
    <w:rsid w:val="00A328F3"/>
    <w:rsid w:val="00A358E6"/>
    <w:rsid w:val="00A373DD"/>
    <w:rsid w:val="00A41710"/>
    <w:rsid w:val="00A41AA5"/>
    <w:rsid w:val="00A50B4D"/>
    <w:rsid w:val="00A52AAA"/>
    <w:rsid w:val="00A52E71"/>
    <w:rsid w:val="00A54B87"/>
    <w:rsid w:val="00A56426"/>
    <w:rsid w:val="00A574BF"/>
    <w:rsid w:val="00A640F6"/>
    <w:rsid w:val="00A645A2"/>
    <w:rsid w:val="00A7208B"/>
    <w:rsid w:val="00A73C99"/>
    <w:rsid w:val="00A93B6A"/>
    <w:rsid w:val="00A9636B"/>
    <w:rsid w:val="00A966D6"/>
    <w:rsid w:val="00AA5C1C"/>
    <w:rsid w:val="00AB110E"/>
    <w:rsid w:val="00AB24A2"/>
    <w:rsid w:val="00AB278E"/>
    <w:rsid w:val="00AB6539"/>
    <w:rsid w:val="00AE3488"/>
    <w:rsid w:val="00AF11D7"/>
    <w:rsid w:val="00AF223E"/>
    <w:rsid w:val="00AF2733"/>
    <w:rsid w:val="00AF5049"/>
    <w:rsid w:val="00B03429"/>
    <w:rsid w:val="00B05CD9"/>
    <w:rsid w:val="00B05D48"/>
    <w:rsid w:val="00B116AF"/>
    <w:rsid w:val="00B126CB"/>
    <w:rsid w:val="00B166B3"/>
    <w:rsid w:val="00B2389C"/>
    <w:rsid w:val="00B2420B"/>
    <w:rsid w:val="00B25727"/>
    <w:rsid w:val="00B27FC4"/>
    <w:rsid w:val="00B30B05"/>
    <w:rsid w:val="00B34B96"/>
    <w:rsid w:val="00B43DBC"/>
    <w:rsid w:val="00B45CF0"/>
    <w:rsid w:val="00B5158D"/>
    <w:rsid w:val="00B628EE"/>
    <w:rsid w:val="00B65AC6"/>
    <w:rsid w:val="00B75AC2"/>
    <w:rsid w:val="00B8069B"/>
    <w:rsid w:val="00B87468"/>
    <w:rsid w:val="00B950D2"/>
    <w:rsid w:val="00B963D0"/>
    <w:rsid w:val="00BA01EB"/>
    <w:rsid w:val="00BA4D8D"/>
    <w:rsid w:val="00BB1160"/>
    <w:rsid w:val="00BB39D9"/>
    <w:rsid w:val="00BB6209"/>
    <w:rsid w:val="00BC2220"/>
    <w:rsid w:val="00BC2B93"/>
    <w:rsid w:val="00BC45B7"/>
    <w:rsid w:val="00BC46BE"/>
    <w:rsid w:val="00BD4507"/>
    <w:rsid w:val="00BE22AA"/>
    <w:rsid w:val="00BE3297"/>
    <w:rsid w:val="00BE6720"/>
    <w:rsid w:val="00BF0CA1"/>
    <w:rsid w:val="00BF2547"/>
    <w:rsid w:val="00BF5E11"/>
    <w:rsid w:val="00BF7FDF"/>
    <w:rsid w:val="00C01CA2"/>
    <w:rsid w:val="00C05B5B"/>
    <w:rsid w:val="00C06B0E"/>
    <w:rsid w:val="00C1143E"/>
    <w:rsid w:val="00C11876"/>
    <w:rsid w:val="00C145C5"/>
    <w:rsid w:val="00C25857"/>
    <w:rsid w:val="00C4474E"/>
    <w:rsid w:val="00C50A8F"/>
    <w:rsid w:val="00C536C9"/>
    <w:rsid w:val="00C54617"/>
    <w:rsid w:val="00C605EA"/>
    <w:rsid w:val="00C60787"/>
    <w:rsid w:val="00C61314"/>
    <w:rsid w:val="00C7314E"/>
    <w:rsid w:val="00C76422"/>
    <w:rsid w:val="00C81AA7"/>
    <w:rsid w:val="00C83097"/>
    <w:rsid w:val="00C91309"/>
    <w:rsid w:val="00C91CCE"/>
    <w:rsid w:val="00C9394A"/>
    <w:rsid w:val="00C943A5"/>
    <w:rsid w:val="00C952AF"/>
    <w:rsid w:val="00CA0905"/>
    <w:rsid w:val="00CB1A27"/>
    <w:rsid w:val="00CC0837"/>
    <w:rsid w:val="00CC188B"/>
    <w:rsid w:val="00CC20DB"/>
    <w:rsid w:val="00CC5DF6"/>
    <w:rsid w:val="00CC69CF"/>
    <w:rsid w:val="00CD49D4"/>
    <w:rsid w:val="00CE38E2"/>
    <w:rsid w:val="00CF74FF"/>
    <w:rsid w:val="00D02D48"/>
    <w:rsid w:val="00D04D6F"/>
    <w:rsid w:val="00D076F3"/>
    <w:rsid w:val="00D12D3F"/>
    <w:rsid w:val="00D14253"/>
    <w:rsid w:val="00D158E9"/>
    <w:rsid w:val="00D21BC9"/>
    <w:rsid w:val="00D24F22"/>
    <w:rsid w:val="00D260E9"/>
    <w:rsid w:val="00D27B5C"/>
    <w:rsid w:val="00D32B3E"/>
    <w:rsid w:val="00D3343D"/>
    <w:rsid w:val="00D3571D"/>
    <w:rsid w:val="00D36245"/>
    <w:rsid w:val="00D44426"/>
    <w:rsid w:val="00D44823"/>
    <w:rsid w:val="00D4601D"/>
    <w:rsid w:val="00D63AB2"/>
    <w:rsid w:val="00D64482"/>
    <w:rsid w:val="00D64574"/>
    <w:rsid w:val="00D716B3"/>
    <w:rsid w:val="00D76407"/>
    <w:rsid w:val="00D7641E"/>
    <w:rsid w:val="00D76B10"/>
    <w:rsid w:val="00D8655C"/>
    <w:rsid w:val="00D90EF8"/>
    <w:rsid w:val="00D91F81"/>
    <w:rsid w:val="00D92B75"/>
    <w:rsid w:val="00D96635"/>
    <w:rsid w:val="00D970E4"/>
    <w:rsid w:val="00D97ACF"/>
    <w:rsid w:val="00DA2D0A"/>
    <w:rsid w:val="00DA3E4E"/>
    <w:rsid w:val="00DA4356"/>
    <w:rsid w:val="00DA4719"/>
    <w:rsid w:val="00DA6D43"/>
    <w:rsid w:val="00DB0F1B"/>
    <w:rsid w:val="00DB1EAA"/>
    <w:rsid w:val="00DB45BA"/>
    <w:rsid w:val="00DB5EEF"/>
    <w:rsid w:val="00DC304A"/>
    <w:rsid w:val="00DC4CB0"/>
    <w:rsid w:val="00DC55EB"/>
    <w:rsid w:val="00DC6709"/>
    <w:rsid w:val="00DD4924"/>
    <w:rsid w:val="00DD5829"/>
    <w:rsid w:val="00DE1F66"/>
    <w:rsid w:val="00DF0F97"/>
    <w:rsid w:val="00DF1DDF"/>
    <w:rsid w:val="00DF2519"/>
    <w:rsid w:val="00DF3C14"/>
    <w:rsid w:val="00E0449F"/>
    <w:rsid w:val="00E10601"/>
    <w:rsid w:val="00E10F98"/>
    <w:rsid w:val="00E1195B"/>
    <w:rsid w:val="00E13675"/>
    <w:rsid w:val="00E13BED"/>
    <w:rsid w:val="00E14B59"/>
    <w:rsid w:val="00E151DB"/>
    <w:rsid w:val="00E32CA6"/>
    <w:rsid w:val="00E375F1"/>
    <w:rsid w:val="00E376BD"/>
    <w:rsid w:val="00E45460"/>
    <w:rsid w:val="00E56D8C"/>
    <w:rsid w:val="00E6057E"/>
    <w:rsid w:val="00E640EF"/>
    <w:rsid w:val="00E675C5"/>
    <w:rsid w:val="00E71ADB"/>
    <w:rsid w:val="00E76FE8"/>
    <w:rsid w:val="00E82A31"/>
    <w:rsid w:val="00E845CF"/>
    <w:rsid w:val="00E909F9"/>
    <w:rsid w:val="00E91772"/>
    <w:rsid w:val="00E93F97"/>
    <w:rsid w:val="00E9600E"/>
    <w:rsid w:val="00EA39E2"/>
    <w:rsid w:val="00EA5DFA"/>
    <w:rsid w:val="00EA7C7E"/>
    <w:rsid w:val="00EB11D6"/>
    <w:rsid w:val="00EB6111"/>
    <w:rsid w:val="00EC7CF2"/>
    <w:rsid w:val="00ED086E"/>
    <w:rsid w:val="00ED4D55"/>
    <w:rsid w:val="00ED6AAE"/>
    <w:rsid w:val="00ED788C"/>
    <w:rsid w:val="00EE4391"/>
    <w:rsid w:val="00EE4604"/>
    <w:rsid w:val="00EF254D"/>
    <w:rsid w:val="00EF4233"/>
    <w:rsid w:val="00EF7ED2"/>
    <w:rsid w:val="00F00E57"/>
    <w:rsid w:val="00F03390"/>
    <w:rsid w:val="00F03D39"/>
    <w:rsid w:val="00F06E89"/>
    <w:rsid w:val="00F0730E"/>
    <w:rsid w:val="00F15113"/>
    <w:rsid w:val="00F17A4D"/>
    <w:rsid w:val="00F24D52"/>
    <w:rsid w:val="00F34988"/>
    <w:rsid w:val="00F3663C"/>
    <w:rsid w:val="00F403AB"/>
    <w:rsid w:val="00F423C5"/>
    <w:rsid w:val="00F42A65"/>
    <w:rsid w:val="00F45079"/>
    <w:rsid w:val="00F45C5A"/>
    <w:rsid w:val="00F46A83"/>
    <w:rsid w:val="00F51FFC"/>
    <w:rsid w:val="00F5395E"/>
    <w:rsid w:val="00F6289F"/>
    <w:rsid w:val="00F66A0E"/>
    <w:rsid w:val="00F72967"/>
    <w:rsid w:val="00F73A73"/>
    <w:rsid w:val="00F93269"/>
    <w:rsid w:val="00F93A2E"/>
    <w:rsid w:val="00F95E09"/>
    <w:rsid w:val="00FA30DA"/>
    <w:rsid w:val="00FA40B3"/>
    <w:rsid w:val="00FA452B"/>
    <w:rsid w:val="00FA51B0"/>
    <w:rsid w:val="00FA56FE"/>
    <w:rsid w:val="00FB1381"/>
    <w:rsid w:val="00FB561C"/>
    <w:rsid w:val="00FB6874"/>
    <w:rsid w:val="00FC3937"/>
    <w:rsid w:val="00FC59DA"/>
    <w:rsid w:val="00FC7D4B"/>
    <w:rsid w:val="00FE3A32"/>
    <w:rsid w:val="00FE42DA"/>
    <w:rsid w:val="00FE587C"/>
    <w:rsid w:val="00FE5A82"/>
    <w:rsid w:val="00FE6AB0"/>
    <w:rsid w:val="00FF0A47"/>
    <w:rsid w:val="00FF4E94"/>
    <w:rsid w:val="00FF597D"/>
    <w:rsid w:val="00FF66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8C9D"/>
  <w15:docId w15:val="{7DDD9A2E-80FF-48E5-B051-4631A5D0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76"/>
    <w:pPr>
      <w:spacing w:after="0" w:line="240" w:lineRule="auto"/>
    </w:pPr>
    <w:rPr>
      <w:rFonts w:ascii="Times New Roman" w:eastAsia="MS Mincho"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2A76"/>
    <w:pPr>
      <w:tabs>
        <w:tab w:val="center" w:pos="4252"/>
        <w:tab w:val="right" w:pos="8504"/>
      </w:tabs>
    </w:pPr>
  </w:style>
  <w:style w:type="character" w:customStyle="1" w:styleId="EncabezadoCar">
    <w:name w:val="Encabezado Car"/>
    <w:basedOn w:val="Fuentedeprrafopredeter"/>
    <w:link w:val="Encabezado"/>
    <w:uiPriority w:val="99"/>
    <w:rsid w:val="001A2A76"/>
    <w:rPr>
      <w:rFonts w:ascii="Times New Roman" w:eastAsia="MS Mincho" w:hAnsi="Times New Roman" w:cs="Times New Roman"/>
      <w:sz w:val="24"/>
      <w:szCs w:val="24"/>
      <w:lang w:eastAsia="es-ES"/>
    </w:rPr>
  </w:style>
  <w:style w:type="paragraph" w:styleId="Piedepgina">
    <w:name w:val="footer"/>
    <w:basedOn w:val="Normal"/>
    <w:link w:val="PiedepginaCar"/>
    <w:uiPriority w:val="99"/>
    <w:rsid w:val="001A2A76"/>
    <w:pPr>
      <w:tabs>
        <w:tab w:val="center" w:pos="4252"/>
        <w:tab w:val="right" w:pos="8504"/>
      </w:tabs>
    </w:pPr>
  </w:style>
  <w:style w:type="character" w:customStyle="1" w:styleId="PiedepginaCar">
    <w:name w:val="Pie de página Car"/>
    <w:basedOn w:val="Fuentedeprrafopredeter"/>
    <w:link w:val="Piedepgina"/>
    <w:uiPriority w:val="99"/>
    <w:rsid w:val="001A2A76"/>
    <w:rPr>
      <w:rFonts w:ascii="Times New Roman" w:eastAsia="MS Mincho" w:hAnsi="Times New Roman" w:cs="Times New Roman"/>
      <w:sz w:val="24"/>
      <w:szCs w:val="24"/>
      <w:lang w:eastAsia="es-ES"/>
    </w:rPr>
  </w:style>
  <w:style w:type="character" w:styleId="Nmerodepgina">
    <w:name w:val="page number"/>
    <w:basedOn w:val="Fuentedeprrafopredeter"/>
    <w:uiPriority w:val="99"/>
    <w:rsid w:val="001A2A76"/>
    <w:rPr>
      <w:rFonts w:cs="Times New Roman"/>
    </w:rPr>
  </w:style>
  <w:style w:type="character" w:styleId="Hipervnculo">
    <w:name w:val="Hyperlink"/>
    <w:basedOn w:val="Fuentedeprrafopredeter"/>
    <w:uiPriority w:val="99"/>
    <w:rsid w:val="001A2A76"/>
    <w:rPr>
      <w:rFonts w:cs="Times New Roman"/>
      <w:color w:val="0000FF"/>
      <w:u w:val="single"/>
    </w:rPr>
  </w:style>
  <w:style w:type="character" w:styleId="Refdecomentario">
    <w:name w:val="annotation reference"/>
    <w:basedOn w:val="Fuentedeprrafopredeter"/>
    <w:uiPriority w:val="99"/>
    <w:rsid w:val="001A2A76"/>
    <w:rPr>
      <w:rFonts w:cs="Times New Roman"/>
      <w:sz w:val="16"/>
    </w:rPr>
  </w:style>
  <w:style w:type="paragraph" w:styleId="Textocomentario">
    <w:name w:val="annotation text"/>
    <w:basedOn w:val="Normal"/>
    <w:link w:val="TextocomentarioCar"/>
    <w:uiPriority w:val="99"/>
    <w:rsid w:val="001A2A76"/>
    <w:rPr>
      <w:sz w:val="20"/>
      <w:szCs w:val="20"/>
      <w:lang w:eastAsia="ja-JP"/>
    </w:rPr>
  </w:style>
  <w:style w:type="character" w:customStyle="1" w:styleId="TextocomentarioCar">
    <w:name w:val="Texto comentario Car"/>
    <w:basedOn w:val="Fuentedeprrafopredeter"/>
    <w:link w:val="Textocomentario"/>
    <w:uiPriority w:val="99"/>
    <w:rsid w:val="001A2A76"/>
    <w:rPr>
      <w:rFonts w:ascii="Times New Roman" w:eastAsia="MS Mincho" w:hAnsi="Times New Roman" w:cs="Times New Roman"/>
      <w:sz w:val="20"/>
      <w:szCs w:val="20"/>
      <w:lang w:eastAsia="ja-JP"/>
    </w:rPr>
  </w:style>
  <w:style w:type="paragraph" w:styleId="Prrafodelista">
    <w:name w:val="List Paragraph"/>
    <w:basedOn w:val="Normal"/>
    <w:link w:val="PrrafodelistaCar"/>
    <w:uiPriority w:val="34"/>
    <w:qFormat/>
    <w:rsid w:val="001A2A76"/>
    <w:pPr>
      <w:ind w:left="720"/>
      <w:contextualSpacing/>
    </w:pPr>
  </w:style>
  <w:style w:type="paragraph" w:styleId="NormalWeb">
    <w:name w:val="Normal (Web)"/>
    <w:basedOn w:val="Normal"/>
    <w:uiPriority w:val="99"/>
    <w:unhideWhenUsed/>
    <w:rsid w:val="001A2A76"/>
    <w:pPr>
      <w:spacing w:before="100" w:beforeAutospacing="1" w:after="100" w:afterAutospacing="1"/>
    </w:pPr>
    <w:rPr>
      <w:rFonts w:eastAsia="Times New Roman"/>
    </w:rPr>
  </w:style>
  <w:style w:type="character" w:customStyle="1" w:styleId="PrrafodelistaCar">
    <w:name w:val="Párrafo de lista Car"/>
    <w:basedOn w:val="Fuentedeprrafopredeter"/>
    <w:link w:val="Prrafodelista"/>
    <w:uiPriority w:val="34"/>
    <w:locked/>
    <w:rsid w:val="001A2A76"/>
    <w:rPr>
      <w:rFonts w:ascii="Times New Roman" w:eastAsia="MS Mincho" w:hAnsi="Times New Roman" w:cs="Times New Roman"/>
      <w:sz w:val="24"/>
      <w:szCs w:val="24"/>
      <w:lang w:eastAsia="es-ES"/>
    </w:rPr>
  </w:style>
  <w:style w:type="character" w:customStyle="1" w:styleId="normaltextrun">
    <w:name w:val="normaltextrun"/>
    <w:basedOn w:val="Fuentedeprrafopredeter"/>
    <w:rsid w:val="00694B11"/>
  </w:style>
  <w:style w:type="character" w:styleId="nfasis">
    <w:name w:val="Emphasis"/>
    <w:basedOn w:val="Fuentedeprrafopredeter"/>
    <w:uiPriority w:val="20"/>
    <w:qFormat/>
    <w:rsid w:val="0072269E"/>
    <w:rPr>
      <w:i/>
      <w:iCs/>
    </w:rPr>
  </w:style>
  <w:style w:type="character" w:customStyle="1" w:styleId="Mencinsinresolver1">
    <w:name w:val="Mención sin resolver1"/>
    <w:basedOn w:val="Fuentedeprrafopredeter"/>
    <w:uiPriority w:val="99"/>
    <w:semiHidden/>
    <w:unhideWhenUsed/>
    <w:rsid w:val="002A3D92"/>
    <w:rPr>
      <w:color w:val="605E5C"/>
      <w:shd w:val="clear" w:color="auto" w:fill="E1DFDD"/>
    </w:rPr>
  </w:style>
  <w:style w:type="paragraph" w:styleId="Textodeglobo">
    <w:name w:val="Balloon Text"/>
    <w:basedOn w:val="Normal"/>
    <w:link w:val="TextodegloboCar"/>
    <w:uiPriority w:val="99"/>
    <w:semiHidden/>
    <w:unhideWhenUsed/>
    <w:rsid w:val="0001254E"/>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54E"/>
    <w:rPr>
      <w:rFonts w:ascii="Tahoma" w:eastAsia="MS Mincho" w:hAnsi="Tahoma" w:cs="Tahoma"/>
      <w:sz w:val="16"/>
      <w:szCs w:val="16"/>
      <w:lang w:eastAsia="es-ES"/>
    </w:rPr>
  </w:style>
  <w:style w:type="character" w:styleId="Mencinsinresolver">
    <w:name w:val="Unresolved Mention"/>
    <w:basedOn w:val="Fuentedeprrafopredeter"/>
    <w:uiPriority w:val="99"/>
    <w:semiHidden/>
    <w:unhideWhenUsed/>
    <w:rsid w:val="009A1EB0"/>
    <w:rPr>
      <w:color w:val="605E5C"/>
      <w:shd w:val="clear" w:color="auto" w:fill="E1DFDD"/>
    </w:rPr>
  </w:style>
  <w:style w:type="paragraph" w:styleId="Revisin">
    <w:name w:val="Revision"/>
    <w:hidden/>
    <w:uiPriority w:val="99"/>
    <w:semiHidden/>
    <w:rsid w:val="00F17A4D"/>
    <w:pPr>
      <w:spacing w:after="0" w:line="240" w:lineRule="auto"/>
    </w:pPr>
    <w:rPr>
      <w:rFonts w:ascii="Times New Roman" w:eastAsia="MS Mincho"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BA4D8D"/>
    <w:rPr>
      <w:b/>
      <w:bCs/>
      <w:lang w:eastAsia="es-ES"/>
    </w:rPr>
  </w:style>
  <w:style w:type="character" w:customStyle="1" w:styleId="AsuntodelcomentarioCar">
    <w:name w:val="Asunto del comentario Car"/>
    <w:basedOn w:val="TextocomentarioCar"/>
    <w:link w:val="Asuntodelcomentario"/>
    <w:uiPriority w:val="99"/>
    <w:semiHidden/>
    <w:rsid w:val="00BA4D8D"/>
    <w:rPr>
      <w:rFonts w:ascii="Times New Roman" w:eastAsia="MS Mincho"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5472">
      <w:bodyDiv w:val="1"/>
      <w:marLeft w:val="0"/>
      <w:marRight w:val="0"/>
      <w:marTop w:val="0"/>
      <w:marBottom w:val="0"/>
      <w:divBdr>
        <w:top w:val="none" w:sz="0" w:space="0" w:color="auto"/>
        <w:left w:val="none" w:sz="0" w:space="0" w:color="auto"/>
        <w:bottom w:val="none" w:sz="0" w:space="0" w:color="auto"/>
        <w:right w:val="none" w:sz="0" w:space="0" w:color="auto"/>
      </w:divBdr>
    </w:div>
    <w:div w:id="94403549">
      <w:bodyDiv w:val="1"/>
      <w:marLeft w:val="0"/>
      <w:marRight w:val="0"/>
      <w:marTop w:val="0"/>
      <w:marBottom w:val="0"/>
      <w:divBdr>
        <w:top w:val="none" w:sz="0" w:space="0" w:color="auto"/>
        <w:left w:val="none" w:sz="0" w:space="0" w:color="auto"/>
        <w:bottom w:val="none" w:sz="0" w:space="0" w:color="auto"/>
        <w:right w:val="none" w:sz="0" w:space="0" w:color="auto"/>
      </w:divBdr>
    </w:div>
    <w:div w:id="121778022">
      <w:bodyDiv w:val="1"/>
      <w:marLeft w:val="0"/>
      <w:marRight w:val="0"/>
      <w:marTop w:val="0"/>
      <w:marBottom w:val="0"/>
      <w:divBdr>
        <w:top w:val="none" w:sz="0" w:space="0" w:color="auto"/>
        <w:left w:val="none" w:sz="0" w:space="0" w:color="auto"/>
        <w:bottom w:val="none" w:sz="0" w:space="0" w:color="auto"/>
        <w:right w:val="none" w:sz="0" w:space="0" w:color="auto"/>
      </w:divBdr>
    </w:div>
    <w:div w:id="206647555">
      <w:bodyDiv w:val="1"/>
      <w:marLeft w:val="0"/>
      <w:marRight w:val="0"/>
      <w:marTop w:val="0"/>
      <w:marBottom w:val="0"/>
      <w:divBdr>
        <w:top w:val="none" w:sz="0" w:space="0" w:color="auto"/>
        <w:left w:val="none" w:sz="0" w:space="0" w:color="auto"/>
        <w:bottom w:val="none" w:sz="0" w:space="0" w:color="auto"/>
        <w:right w:val="none" w:sz="0" w:space="0" w:color="auto"/>
      </w:divBdr>
    </w:div>
    <w:div w:id="265775920">
      <w:bodyDiv w:val="1"/>
      <w:marLeft w:val="0"/>
      <w:marRight w:val="0"/>
      <w:marTop w:val="0"/>
      <w:marBottom w:val="0"/>
      <w:divBdr>
        <w:top w:val="none" w:sz="0" w:space="0" w:color="auto"/>
        <w:left w:val="none" w:sz="0" w:space="0" w:color="auto"/>
        <w:bottom w:val="none" w:sz="0" w:space="0" w:color="auto"/>
        <w:right w:val="none" w:sz="0" w:space="0" w:color="auto"/>
      </w:divBdr>
    </w:div>
    <w:div w:id="322707354">
      <w:bodyDiv w:val="1"/>
      <w:marLeft w:val="0"/>
      <w:marRight w:val="0"/>
      <w:marTop w:val="0"/>
      <w:marBottom w:val="0"/>
      <w:divBdr>
        <w:top w:val="none" w:sz="0" w:space="0" w:color="auto"/>
        <w:left w:val="none" w:sz="0" w:space="0" w:color="auto"/>
        <w:bottom w:val="none" w:sz="0" w:space="0" w:color="auto"/>
        <w:right w:val="none" w:sz="0" w:space="0" w:color="auto"/>
      </w:divBdr>
    </w:div>
    <w:div w:id="323583487">
      <w:bodyDiv w:val="1"/>
      <w:marLeft w:val="0"/>
      <w:marRight w:val="0"/>
      <w:marTop w:val="0"/>
      <w:marBottom w:val="0"/>
      <w:divBdr>
        <w:top w:val="none" w:sz="0" w:space="0" w:color="auto"/>
        <w:left w:val="none" w:sz="0" w:space="0" w:color="auto"/>
        <w:bottom w:val="none" w:sz="0" w:space="0" w:color="auto"/>
        <w:right w:val="none" w:sz="0" w:space="0" w:color="auto"/>
      </w:divBdr>
    </w:div>
    <w:div w:id="358898664">
      <w:bodyDiv w:val="1"/>
      <w:marLeft w:val="0"/>
      <w:marRight w:val="0"/>
      <w:marTop w:val="0"/>
      <w:marBottom w:val="0"/>
      <w:divBdr>
        <w:top w:val="none" w:sz="0" w:space="0" w:color="auto"/>
        <w:left w:val="none" w:sz="0" w:space="0" w:color="auto"/>
        <w:bottom w:val="none" w:sz="0" w:space="0" w:color="auto"/>
        <w:right w:val="none" w:sz="0" w:space="0" w:color="auto"/>
      </w:divBdr>
    </w:div>
    <w:div w:id="359666667">
      <w:bodyDiv w:val="1"/>
      <w:marLeft w:val="0"/>
      <w:marRight w:val="0"/>
      <w:marTop w:val="0"/>
      <w:marBottom w:val="0"/>
      <w:divBdr>
        <w:top w:val="none" w:sz="0" w:space="0" w:color="auto"/>
        <w:left w:val="none" w:sz="0" w:space="0" w:color="auto"/>
        <w:bottom w:val="none" w:sz="0" w:space="0" w:color="auto"/>
        <w:right w:val="none" w:sz="0" w:space="0" w:color="auto"/>
      </w:divBdr>
    </w:div>
    <w:div w:id="395978433">
      <w:bodyDiv w:val="1"/>
      <w:marLeft w:val="0"/>
      <w:marRight w:val="0"/>
      <w:marTop w:val="0"/>
      <w:marBottom w:val="0"/>
      <w:divBdr>
        <w:top w:val="none" w:sz="0" w:space="0" w:color="auto"/>
        <w:left w:val="none" w:sz="0" w:space="0" w:color="auto"/>
        <w:bottom w:val="none" w:sz="0" w:space="0" w:color="auto"/>
        <w:right w:val="none" w:sz="0" w:space="0" w:color="auto"/>
      </w:divBdr>
    </w:div>
    <w:div w:id="418596719">
      <w:bodyDiv w:val="1"/>
      <w:marLeft w:val="0"/>
      <w:marRight w:val="0"/>
      <w:marTop w:val="0"/>
      <w:marBottom w:val="0"/>
      <w:divBdr>
        <w:top w:val="none" w:sz="0" w:space="0" w:color="auto"/>
        <w:left w:val="none" w:sz="0" w:space="0" w:color="auto"/>
        <w:bottom w:val="none" w:sz="0" w:space="0" w:color="auto"/>
        <w:right w:val="none" w:sz="0" w:space="0" w:color="auto"/>
      </w:divBdr>
    </w:div>
    <w:div w:id="446660038">
      <w:bodyDiv w:val="1"/>
      <w:marLeft w:val="0"/>
      <w:marRight w:val="0"/>
      <w:marTop w:val="0"/>
      <w:marBottom w:val="0"/>
      <w:divBdr>
        <w:top w:val="none" w:sz="0" w:space="0" w:color="auto"/>
        <w:left w:val="none" w:sz="0" w:space="0" w:color="auto"/>
        <w:bottom w:val="none" w:sz="0" w:space="0" w:color="auto"/>
        <w:right w:val="none" w:sz="0" w:space="0" w:color="auto"/>
      </w:divBdr>
    </w:div>
    <w:div w:id="482935874">
      <w:bodyDiv w:val="1"/>
      <w:marLeft w:val="0"/>
      <w:marRight w:val="0"/>
      <w:marTop w:val="0"/>
      <w:marBottom w:val="0"/>
      <w:divBdr>
        <w:top w:val="none" w:sz="0" w:space="0" w:color="auto"/>
        <w:left w:val="none" w:sz="0" w:space="0" w:color="auto"/>
        <w:bottom w:val="none" w:sz="0" w:space="0" w:color="auto"/>
        <w:right w:val="none" w:sz="0" w:space="0" w:color="auto"/>
      </w:divBdr>
    </w:div>
    <w:div w:id="489752631">
      <w:bodyDiv w:val="1"/>
      <w:marLeft w:val="0"/>
      <w:marRight w:val="0"/>
      <w:marTop w:val="0"/>
      <w:marBottom w:val="0"/>
      <w:divBdr>
        <w:top w:val="none" w:sz="0" w:space="0" w:color="auto"/>
        <w:left w:val="none" w:sz="0" w:space="0" w:color="auto"/>
        <w:bottom w:val="none" w:sz="0" w:space="0" w:color="auto"/>
        <w:right w:val="none" w:sz="0" w:space="0" w:color="auto"/>
      </w:divBdr>
    </w:div>
    <w:div w:id="505442985">
      <w:bodyDiv w:val="1"/>
      <w:marLeft w:val="0"/>
      <w:marRight w:val="0"/>
      <w:marTop w:val="0"/>
      <w:marBottom w:val="0"/>
      <w:divBdr>
        <w:top w:val="none" w:sz="0" w:space="0" w:color="auto"/>
        <w:left w:val="none" w:sz="0" w:space="0" w:color="auto"/>
        <w:bottom w:val="none" w:sz="0" w:space="0" w:color="auto"/>
        <w:right w:val="none" w:sz="0" w:space="0" w:color="auto"/>
      </w:divBdr>
    </w:div>
    <w:div w:id="507906010">
      <w:bodyDiv w:val="1"/>
      <w:marLeft w:val="0"/>
      <w:marRight w:val="0"/>
      <w:marTop w:val="0"/>
      <w:marBottom w:val="0"/>
      <w:divBdr>
        <w:top w:val="none" w:sz="0" w:space="0" w:color="auto"/>
        <w:left w:val="none" w:sz="0" w:space="0" w:color="auto"/>
        <w:bottom w:val="none" w:sz="0" w:space="0" w:color="auto"/>
        <w:right w:val="none" w:sz="0" w:space="0" w:color="auto"/>
      </w:divBdr>
    </w:div>
    <w:div w:id="537204945">
      <w:bodyDiv w:val="1"/>
      <w:marLeft w:val="0"/>
      <w:marRight w:val="0"/>
      <w:marTop w:val="0"/>
      <w:marBottom w:val="0"/>
      <w:divBdr>
        <w:top w:val="none" w:sz="0" w:space="0" w:color="auto"/>
        <w:left w:val="none" w:sz="0" w:space="0" w:color="auto"/>
        <w:bottom w:val="none" w:sz="0" w:space="0" w:color="auto"/>
        <w:right w:val="none" w:sz="0" w:space="0" w:color="auto"/>
      </w:divBdr>
    </w:div>
    <w:div w:id="562451697">
      <w:bodyDiv w:val="1"/>
      <w:marLeft w:val="0"/>
      <w:marRight w:val="0"/>
      <w:marTop w:val="0"/>
      <w:marBottom w:val="0"/>
      <w:divBdr>
        <w:top w:val="none" w:sz="0" w:space="0" w:color="auto"/>
        <w:left w:val="none" w:sz="0" w:space="0" w:color="auto"/>
        <w:bottom w:val="none" w:sz="0" w:space="0" w:color="auto"/>
        <w:right w:val="none" w:sz="0" w:space="0" w:color="auto"/>
      </w:divBdr>
    </w:div>
    <w:div w:id="598217711">
      <w:bodyDiv w:val="1"/>
      <w:marLeft w:val="0"/>
      <w:marRight w:val="0"/>
      <w:marTop w:val="0"/>
      <w:marBottom w:val="0"/>
      <w:divBdr>
        <w:top w:val="none" w:sz="0" w:space="0" w:color="auto"/>
        <w:left w:val="none" w:sz="0" w:space="0" w:color="auto"/>
        <w:bottom w:val="none" w:sz="0" w:space="0" w:color="auto"/>
        <w:right w:val="none" w:sz="0" w:space="0" w:color="auto"/>
      </w:divBdr>
    </w:div>
    <w:div w:id="623973256">
      <w:bodyDiv w:val="1"/>
      <w:marLeft w:val="0"/>
      <w:marRight w:val="0"/>
      <w:marTop w:val="0"/>
      <w:marBottom w:val="0"/>
      <w:divBdr>
        <w:top w:val="none" w:sz="0" w:space="0" w:color="auto"/>
        <w:left w:val="none" w:sz="0" w:space="0" w:color="auto"/>
        <w:bottom w:val="none" w:sz="0" w:space="0" w:color="auto"/>
        <w:right w:val="none" w:sz="0" w:space="0" w:color="auto"/>
      </w:divBdr>
    </w:div>
    <w:div w:id="687293555">
      <w:bodyDiv w:val="1"/>
      <w:marLeft w:val="0"/>
      <w:marRight w:val="0"/>
      <w:marTop w:val="0"/>
      <w:marBottom w:val="0"/>
      <w:divBdr>
        <w:top w:val="none" w:sz="0" w:space="0" w:color="auto"/>
        <w:left w:val="none" w:sz="0" w:space="0" w:color="auto"/>
        <w:bottom w:val="none" w:sz="0" w:space="0" w:color="auto"/>
        <w:right w:val="none" w:sz="0" w:space="0" w:color="auto"/>
      </w:divBdr>
    </w:div>
    <w:div w:id="694111533">
      <w:bodyDiv w:val="1"/>
      <w:marLeft w:val="0"/>
      <w:marRight w:val="0"/>
      <w:marTop w:val="0"/>
      <w:marBottom w:val="0"/>
      <w:divBdr>
        <w:top w:val="none" w:sz="0" w:space="0" w:color="auto"/>
        <w:left w:val="none" w:sz="0" w:space="0" w:color="auto"/>
        <w:bottom w:val="none" w:sz="0" w:space="0" w:color="auto"/>
        <w:right w:val="none" w:sz="0" w:space="0" w:color="auto"/>
      </w:divBdr>
    </w:div>
    <w:div w:id="804589289">
      <w:bodyDiv w:val="1"/>
      <w:marLeft w:val="0"/>
      <w:marRight w:val="0"/>
      <w:marTop w:val="0"/>
      <w:marBottom w:val="0"/>
      <w:divBdr>
        <w:top w:val="none" w:sz="0" w:space="0" w:color="auto"/>
        <w:left w:val="none" w:sz="0" w:space="0" w:color="auto"/>
        <w:bottom w:val="none" w:sz="0" w:space="0" w:color="auto"/>
        <w:right w:val="none" w:sz="0" w:space="0" w:color="auto"/>
      </w:divBdr>
    </w:div>
    <w:div w:id="914322571">
      <w:bodyDiv w:val="1"/>
      <w:marLeft w:val="0"/>
      <w:marRight w:val="0"/>
      <w:marTop w:val="0"/>
      <w:marBottom w:val="0"/>
      <w:divBdr>
        <w:top w:val="none" w:sz="0" w:space="0" w:color="auto"/>
        <w:left w:val="none" w:sz="0" w:space="0" w:color="auto"/>
        <w:bottom w:val="none" w:sz="0" w:space="0" w:color="auto"/>
        <w:right w:val="none" w:sz="0" w:space="0" w:color="auto"/>
      </w:divBdr>
    </w:div>
    <w:div w:id="921061617">
      <w:bodyDiv w:val="1"/>
      <w:marLeft w:val="0"/>
      <w:marRight w:val="0"/>
      <w:marTop w:val="0"/>
      <w:marBottom w:val="0"/>
      <w:divBdr>
        <w:top w:val="none" w:sz="0" w:space="0" w:color="auto"/>
        <w:left w:val="none" w:sz="0" w:space="0" w:color="auto"/>
        <w:bottom w:val="none" w:sz="0" w:space="0" w:color="auto"/>
        <w:right w:val="none" w:sz="0" w:space="0" w:color="auto"/>
      </w:divBdr>
    </w:div>
    <w:div w:id="925771806">
      <w:bodyDiv w:val="1"/>
      <w:marLeft w:val="0"/>
      <w:marRight w:val="0"/>
      <w:marTop w:val="0"/>
      <w:marBottom w:val="0"/>
      <w:divBdr>
        <w:top w:val="none" w:sz="0" w:space="0" w:color="auto"/>
        <w:left w:val="none" w:sz="0" w:space="0" w:color="auto"/>
        <w:bottom w:val="none" w:sz="0" w:space="0" w:color="auto"/>
        <w:right w:val="none" w:sz="0" w:space="0" w:color="auto"/>
      </w:divBdr>
    </w:div>
    <w:div w:id="938027819">
      <w:bodyDiv w:val="1"/>
      <w:marLeft w:val="0"/>
      <w:marRight w:val="0"/>
      <w:marTop w:val="0"/>
      <w:marBottom w:val="0"/>
      <w:divBdr>
        <w:top w:val="none" w:sz="0" w:space="0" w:color="auto"/>
        <w:left w:val="none" w:sz="0" w:space="0" w:color="auto"/>
        <w:bottom w:val="none" w:sz="0" w:space="0" w:color="auto"/>
        <w:right w:val="none" w:sz="0" w:space="0" w:color="auto"/>
      </w:divBdr>
    </w:div>
    <w:div w:id="978924012">
      <w:bodyDiv w:val="1"/>
      <w:marLeft w:val="0"/>
      <w:marRight w:val="0"/>
      <w:marTop w:val="0"/>
      <w:marBottom w:val="0"/>
      <w:divBdr>
        <w:top w:val="none" w:sz="0" w:space="0" w:color="auto"/>
        <w:left w:val="none" w:sz="0" w:space="0" w:color="auto"/>
        <w:bottom w:val="none" w:sz="0" w:space="0" w:color="auto"/>
        <w:right w:val="none" w:sz="0" w:space="0" w:color="auto"/>
      </w:divBdr>
    </w:div>
    <w:div w:id="982545462">
      <w:bodyDiv w:val="1"/>
      <w:marLeft w:val="0"/>
      <w:marRight w:val="0"/>
      <w:marTop w:val="0"/>
      <w:marBottom w:val="0"/>
      <w:divBdr>
        <w:top w:val="none" w:sz="0" w:space="0" w:color="auto"/>
        <w:left w:val="none" w:sz="0" w:space="0" w:color="auto"/>
        <w:bottom w:val="none" w:sz="0" w:space="0" w:color="auto"/>
        <w:right w:val="none" w:sz="0" w:space="0" w:color="auto"/>
      </w:divBdr>
    </w:div>
    <w:div w:id="1007439491">
      <w:bodyDiv w:val="1"/>
      <w:marLeft w:val="0"/>
      <w:marRight w:val="0"/>
      <w:marTop w:val="0"/>
      <w:marBottom w:val="0"/>
      <w:divBdr>
        <w:top w:val="none" w:sz="0" w:space="0" w:color="auto"/>
        <w:left w:val="none" w:sz="0" w:space="0" w:color="auto"/>
        <w:bottom w:val="none" w:sz="0" w:space="0" w:color="auto"/>
        <w:right w:val="none" w:sz="0" w:space="0" w:color="auto"/>
      </w:divBdr>
    </w:div>
    <w:div w:id="1011646435">
      <w:bodyDiv w:val="1"/>
      <w:marLeft w:val="0"/>
      <w:marRight w:val="0"/>
      <w:marTop w:val="0"/>
      <w:marBottom w:val="0"/>
      <w:divBdr>
        <w:top w:val="none" w:sz="0" w:space="0" w:color="auto"/>
        <w:left w:val="none" w:sz="0" w:space="0" w:color="auto"/>
        <w:bottom w:val="none" w:sz="0" w:space="0" w:color="auto"/>
        <w:right w:val="none" w:sz="0" w:space="0" w:color="auto"/>
      </w:divBdr>
    </w:div>
    <w:div w:id="1044325815">
      <w:bodyDiv w:val="1"/>
      <w:marLeft w:val="0"/>
      <w:marRight w:val="0"/>
      <w:marTop w:val="0"/>
      <w:marBottom w:val="0"/>
      <w:divBdr>
        <w:top w:val="none" w:sz="0" w:space="0" w:color="auto"/>
        <w:left w:val="none" w:sz="0" w:space="0" w:color="auto"/>
        <w:bottom w:val="none" w:sz="0" w:space="0" w:color="auto"/>
        <w:right w:val="none" w:sz="0" w:space="0" w:color="auto"/>
      </w:divBdr>
    </w:div>
    <w:div w:id="1069422972">
      <w:bodyDiv w:val="1"/>
      <w:marLeft w:val="0"/>
      <w:marRight w:val="0"/>
      <w:marTop w:val="0"/>
      <w:marBottom w:val="0"/>
      <w:divBdr>
        <w:top w:val="none" w:sz="0" w:space="0" w:color="auto"/>
        <w:left w:val="none" w:sz="0" w:space="0" w:color="auto"/>
        <w:bottom w:val="none" w:sz="0" w:space="0" w:color="auto"/>
        <w:right w:val="none" w:sz="0" w:space="0" w:color="auto"/>
      </w:divBdr>
    </w:div>
    <w:div w:id="1082406842">
      <w:bodyDiv w:val="1"/>
      <w:marLeft w:val="0"/>
      <w:marRight w:val="0"/>
      <w:marTop w:val="0"/>
      <w:marBottom w:val="0"/>
      <w:divBdr>
        <w:top w:val="none" w:sz="0" w:space="0" w:color="auto"/>
        <w:left w:val="none" w:sz="0" w:space="0" w:color="auto"/>
        <w:bottom w:val="none" w:sz="0" w:space="0" w:color="auto"/>
        <w:right w:val="none" w:sz="0" w:space="0" w:color="auto"/>
      </w:divBdr>
    </w:div>
    <w:div w:id="1112481843">
      <w:bodyDiv w:val="1"/>
      <w:marLeft w:val="0"/>
      <w:marRight w:val="0"/>
      <w:marTop w:val="0"/>
      <w:marBottom w:val="0"/>
      <w:divBdr>
        <w:top w:val="none" w:sz="0" w:space="0" w:color="auto"/>
        <w:left w:val="none" w:sz="0" w:space="0" w:color="auto"/>
        <w:bottom w:val="none" w:sz="0" w:space="0" w:color="auto"/>
        <w:right w:val="none" w:sz="0" w:space="0" w:color="auto"/>
      </w:divBdr>
    </w:div>
    <w:div w:id="1123232304">
      <w:bodyDiv w:val="1"/>
      <w:marLeft w:val="0"/>
      <w:marRight w:val="0"/>
      <w:marTop w:val="0"/>
      <w:marBottom w:val="0"/>
      <w:divBdr>
        <w:top w:val="none" w:sz="0" w:space="0" w:color="auto"/>
        <w:left w:val="none" w:sz="0" w:space="0" w:color="auto"/>
        <w:bottom w:val="none" w:sz="0" w:space="0" w:color="auto"/>
        <w:right w:val="none" w:sz="0" w:space="0" w:color="auto"/>
      </w:divBdr>
    </w:div>
    <w:div w:id="1168598454">
      <w:bodyDiv w:val="1"/>
      <w:marLeft w:val="0"/>
      <w:marRight w:val="0"/>
      <w:marTop w:val="0"/>
      <w:marBottom w:val="0"/>
      <w:divBdr>
        <w:top w:val="none" w:sz="0" w:space="0" w:color="auto"/>
        <w:left w:val="none" w:sz="0" w:space="0" w:color="auto"/>
        <w:bottom w:val="none" w:sz="0" w:space="0" w:color="auto"/>
        <w:right w:val="none" w:sz="0" w:space="0" w:color="auto"/>
      </w:divBdr>
    </w:div>
    <w:div w:id="1202866525">
      <w:bodyDiv w:val="1"/>
      <w:marLeft w:val="0"/>
      <w:marRight w:val="0"/>
      <w:marTop w:val="0"/>
      <w:marBottom w:val="0"/>
      <w:divBdr>
        <w:top w:val="none" w:sz="0" w:space="0" w:color="auto"/>
        <w:left w:val="none" w:sz="0" w:space="0" w:color="auto"/>
        <w:bottom w:val="none" w:sz="0" w:space="0" w:color="auto"/>
        <w:right w:val="none" w:sz="0" w:space="0" w:color="auto"/>
      </w:divBdr>
    </w:div>
    <w:div w:id="1297030516">
      <w:bodyDiv w:val="1"/>
      <w:marLeft w:val="0"/>
      <w:marRight w:val="0"/>
      <w:marTop w:val="0"/>
      <w:marBottom w:val="0"/>
      <w:divBdr>
        <w:top w:val="none" w:sz="0" w:space="0" w:color="auto"/>
        <w:left w:val="none" w:sz="0" w:space="0" w:color="auto"/>
        <w:bottom w:val="none" w:sz="0" w:space="0" w:color="auto"/>
        <w:right w:val="none" w:sz="0" w:space="0" w:color="auto"/>
      </w:divBdr>
    </w:div>
    <w:div w:id="1377586616">
      <w:bodyDiv w:val="1"/>
      <w:marLeft w:val="0"/>
      <w:marRight w:val="0"/>
      <w:marTop w:val="0"/>
      <w:marBottom w:val="0"/>
      <w:divBdr>
        <w:top w:val="none" w:sz="0" w:space="0" w:color="auto"/>
        <w:left w:val="none" w:sz="0" w:space="0" w:color="auto"/>
        <w:bottom w:val="none" w:sz="0" w:space="0" w:color="auto"/>
        <w:right w:val="none" w:sz="0" w:space="0" w:color="auto"/>
      </w:divBdr>
    </w:div>
    <w:div w:id="1379624675">
      <w:bodyDiv w:val="1"/>
      <w:marLeft w:val="0"/>
      <w:marRight w:val="0"/>
      <w:marTop w:val="0"/>
      <w:marBottom w:val="0"/>
      <w:divBdr>
        <w:top w:val="none" w:sz="0" w:space="0" w:color="auto"/>
        <w:left w:val="none" w:sz="0" w:space="0" w:color="auto"/>
        <w:bottom w:val="none" w:sz="0" w:space="0" w:color="auto"/>
        <w:right w:val="none" w:sz="0" w:space="0" w:color="auto"/>
      </w:divBdr>
    </w:div>
    <w:div w:id="1389456626">
      <w:bodyDiv w:val="1"/>
      <w:marLeft w:val="0"/>
      <w:marRight w:val="0"/>
      <w:marTop w:val="0"/>
      <w:marBottom w:val="0"/>
      <w:divBdr>
        <w:top w:val="none" w:sz="0" w:space="0" w:color="auto"/>
        <w:left w:val="none" w:sz="0" w:space="0" w:color="auto"/>
        <w:bottom w:val="none" w:sz="0" w:space="0" w:color="auto"/>
        <w:right w:val="none" w:sz="0" w:space="0" w:color="auto"/>
      </w:divBdr>
    </w:div>
    <w:div w:id="1506747946">
      <w:bodyDiv w:val="1"/>
      <w:marLeft w:val="0"/>
      <w:marRight w:val="0"/>
      <w:marTop w:val="0"/>
      <w:marBottom w:val="0"/>
      <w:divBdr>
        <w:top w:val="none" w:sz="0" w:space="0" w:color="auto"/>
        <w:left w:val="none" w:sz="0" w:space="0" w:color="auto"/>
        <w:bottom w:val="none" w:sz="0" w:space="0" w:color="auto"/>
        <w:right w:val="none" w:sz="0" w:space="0" w:color="auto"/>
      </w:divBdr>
      <w:divsChild>
        <w:div w:id="392969413">
          <w:marLeft w:val="288"/>
          <w:marRight w:val="0"/>
          <w:marTop w:val="200"/>
          <w:marBottom w:val="100"/>
          <w:divBdr>
            <w:top w:val="none" w:sz="0" w:space="0" w:color="auto"/>
            <w:left w:val="none" w:sz="0" w:space="0" w:color="auto"/>
            <w:bottom w:val="none" w:sz="0" w:space="0" w:color="auto"/>
            <w:right w:val="none" w:sz="0" w:space="0" w:color="auto"/>
          </w:divBdr>
        </w:div>
      </w:divsChild>
    </w:div>
    <w:div w:id="1523087165">
      <w:bodyDiv w:val="1"/>
      <w:marLeft w:val="0"/>
      <w:marRight w:val="0"/>
      <w:marTop w:val="0"/>
      <w:marBottom w:val="0"/>
      <w:divBdr>
        <w:top w:val="none" w:sz="0" w:space="0" w:color="auto"/>
        <w:left w:val="none" w:sz="0" w:space="0" w:color="auto"/>
        <w:bottom w:val="none" w:sz="0" w:space="0" w:color="auto"/>
        <w:right w:val="none" w:sz="0" w:space="0" w:color="auto"/>
      </w:divBdr>
    </w:div>
    <w:div w:id="1563246708">
      <w:bodyDiv w:val="1"/>
      <w:marLeft w:val="0"/>
      <w:marRight w:val="0"/>
      <w:marTop w:val="0"/>
      <w:marBottom w:val="0"/>
      <w:divBdr>
        <w:top w:val="none" w:sz="0" w:space="0" w:color="auto"/>
        <w:left w:val="none" w:sz="0" w:space="0" w:color="auto"/>
        <w:bottom w:val="none" w:sz="0" w:space="0" w:color="auto"/>
        <w:right w:val="none" w:sz="0" w:space="0" w:color="auto"/>
      </w:divBdr>
    </w:div>
    <w:div w:id="1576432045">
      <w:bodyDiv w:val="1"/>
      <w:marLeft w:val="0"/>
      <w:marRight w:val="0"/>
      <w:marTop w:val="0"/>
      <w:marBottom w:val="0"/>
      <w:divBdr>
        <w:top w:val="none" w:sz="0" w:space="0" w:color="auto"/>
        <w:left w:val="none" w:sz="0" w:space="0" w:color="auto"/>
        <w:bottom w:val="none" w:sz="0" w:space="0" w:color="auto"/>
        <w:right w:val="none" w:sz="0" w:space="0" w:color="auto"/>
      </w:divBdr>
    </w:div>
    <w:div w:id="1599556895">
      <w:bodyDiv w:val="1"/>
      <w:marLeft w:val="0"/>
      <w:marRight w:val="0"/>
      <w:marTop w:val="0"/>
      <w:marBottom w:val="0"/>
      <w:divBdr>
        <w:top w:val="none" w:sz="0" w:space="0" w:color="auto"/>
        <w:left w:val="none" w:sz="0" w:space="0" w:color="auto"/>
        <w:bottom w:val="none" w:sz="0" w:space="0" w:color="auto"/>
        <w:right w:val="none" w:sz="0" w:space="0" w:color="auto"/>
      </w:divBdr>
    </w:div>
    <w:div w:id="1637182665">
      <w:bodyDiv w:val="1"/>
      <w:marLeft w:val="0"/>
      <w:marRight w:val="0"/>
      <w:marTop w:val="0"/>
      <w:marBottom w:val="0"/>
      <w:divBdr>
        <w:top w:val="none" w:sz="0" w:space="0" w:color="auto"/>
        <w:left w:val="none" w:sz="0" w:space="0" w:color="auto"/>
        <w:bottom w:val="none" w:sz="0" w:space="0" w:color="auto"/>
        <w:right w:val="none" w:sz="0" w:space="0" w:color="auto"/>
      </w:divBdr>
    </w:div>
    <w:div w:id="1693413943">
      <w:bodyDiv w:val="1"/>
      <w:marLeft w:val="0"/>
      <w:marRight w:val="0"/>
      <w:marTop w:val="0"/>
      <w:marBottom w:val="0"/>
      <w:divBdr>
        <w:top w:val="none" w:sz="0" w:space="0" w:color="auto"/>
        <w:left w:val="none" w:sz="0" w:space="0" w:color="auto"/>
        <w:bottom w:val="none" w:sz="0" w:space="0" w:color="auto"/>
        <w:right w:val="none" w:sz="0" w:space="0" w:color="auto"/>
      </w:divBdr>
    </w:div>
    <w:div w:id="1731465566">
      <w:bodyDiv w:val="1"/>
      <w:marLeft w:val="0"/>
      <w:marRight w:val="0"/>
      <w:marTop w:val="0"/>
      <w:marBottom w:val="0"/>
      <w:divBdr>
        <w:top w:val="none" w:sz="0" w:space="0" w:color="auto"/>
        <w:left w:val="none" w:sz="0" w:space="0" w:color="auto"/>
        <w:bottom w:val="none" w:sz="0" w:space="0" w:color="auto"/>
        <w:right w:val="none" w:sz="0" w:space="0" w:color="auto"/>
      </w:divBdr>
    </w:div>
    <w:div w:id="1772120240">
      <w:bodyDiv w:val="1"/>
      <w:marLeft w:val="0"/>
      <w:marRight w:val="0"/>
      <w:marTop w:val="0"/>
      <w:marBottom w:val="0"/>
      <w:divBdr>
        <w:top w:val="none" w:sz="0" w:space="0" w:color="auto"/>
        <w:left w:val="none" w:sz="0" w:space="0" w:color="auto"/>
        <w:bottom w:val="none" w:sz="0" w:space="0" w:color="auto"/>
        <w:right w:val="none" w:sz="0" w:space="0" w:color="auto"/>
      </w:divBdr>
    </w:div>
    <w:div w:id="1782921545">
      <w:bodyDiv w:val="1"/>
      <w:marLeft w:val="0"/>
      <w:marRight w:val="0"/>
      <w:marTop w:val="0"/>
      <w:marBottom w:val="0"/>
      <w:divBdr>
        <w:top w:val="none" w:sz="0" w:space="0" w:color="auto"/>
        <w:left w:val="none" w:sz="0" w:space="0" w:color="auto"/>
        <w:bottom w:val="none" w:sz="0" w:space="0" w:color="auto"/>
        <w:right w:val="none" w:sz="0" w:space="0" w:color="auto"/>
      </w:divBdr>
    </w:div>
    <w:div w:id="1782995325">
      <w:bodyDiv w:val="1"/>
      <w:marLeft w:val="0"/>
      <w:marRight w:val="0"/>
      <w:marTop w:val="0"/>
      <w:marBottom w:val="0"/>
      <w:divBdr>
        <w:top w:val="none" w:sz="0" w:space="0" w:color="auto"/>
        <w:left w:val="none" w:sz="0" w:space="0" w:color="auto"/>
        <w:bottom w:val="none" w:sz="0" w:space="0" w:color="auto"/>
        <w:right w:val="none" w:sz="0" w:space="0" w:color="auto"/>
      </w:divBdr>
    </w:div>
    <w:div w:id="1791319762">
      <w:bodyDiv w:val="1"/>
      <w:marLeft w:val="0"/>
      <w:marRight w:val="0"/>
      <w:marTop w:val="0"/>
      <w:marBottom w:val="0"/>
      <w:divBdr>
        <w:top w:val="none" w:sz="0" w:space="0" w:color="auto"/>
        <w:left w:val="none" w:sz="0" w:space="0" w:color="auto"/>
        <w:bottom w:val="none" w:sz="0" w:space="0" w:color="auto"/>
        <w:right w:val="none" w:sz="0" w:space="0" w:color="auto"/>
      </w:divBdr>
    </w:div>
    <w:div w:id="1805155003">
      <w:bodyDiv w:val="1"/>
      <w:marLeft w:val="0"/>
      <w:marRight w:val="0"/>
      <w:marTop w:val="0"/>
      <w:marBottom w:val="0"/>
      <w:divBdr>
        <w:top w:val="none" w:sz="0" w:space="0" w:color="auto"/>
        <w:left w:val="none" w:sz="0" w:space="0" w:color="auto"/>
        <w:bottom w:val="none" w:sz="0" w:space="0" w:color="auto"/>
        <w:right w:val="none" w:sz="0" w:space="0" w:color="auto"/>
      </w:divBdr>
    </w:div>
    <w:div w:id="1829318615">
      <w:bodyDiv w:val="1"/>
      <w:marLeft w:val="0"/>
      <w:marRight w:val="0"/>
      <w:marTop w:val="0"/>
      <w:marBottom w:val="0"/>
      <w:divBdr>
        <w:top w:val="none" w:sz="0" w:space="0" w:color="auto"/>
        <w:left w:val="none" w:sz="0" w:space="0" w:color="auto"/>
        <w:bottom w:val="none" w:sz="0" w:space="0" w:color="auto"/>
        <w:right w:val="none" w:sz="0" w:space="0" w:color="auto"/>
      </w:divBdr>
    </w:div>
    <w:div w:id="1837960777">
      <w:bodyDiv w:val="1"/>
      <w:marLeft w:val="0"/>
      <w:marRight w:val="0"/>
      <w:marTop w:val="0"/>
      <w:marBottom w:val="0"/>
      <w:divBdr>
        <w:top w:val="none" w:sz="0" w:space="0" w:color="auto"/>
        <w:left w:val="none" w:sz="0" w:space="0" w:color="auto"/>
        <w:bottom w:val="none" w:sz="0" w:space="0" w:color="auto"/>
        <w:right w:val="none" w:sz="0" w:space="0" w:color="auto"/>
      </w:divBdr>
    </w:div>
    <w:div w:id="1922828877">
      <w:bodyDiv w:val="1"/>
      <w:marLeft w:val="0"/>
      <w:marRight w:val="0"/>
      <w:marTop w:val="0"/>
      <w:marBottom w:val="0"/>
      <w:divBdr>
        <w:top w:val="none" w:sz="0" w:space="0" w:color="auto"/>
        <w:left w:val="none" w:sz="0" w:space="0" w:color="auto"/>
        <w:bottom w:val="none" w:sz="0" w:space="0" w:color="auto"/>
        <w:right w:val="none" w:sz="0" w:space="0" w:color="auto"/>
      </w:divBdr>
    </w:div>
    <w:div w:id="1946497413">
      <w:bodyDiv w:val="1"/>
      <w:marLeft w:val="0"/>
      <w:marRight w:val="0"/>
      <w:marTop w:val="0"/>
      <w:marBottom w:val="0"/>
      <w:divBdr>
        <w:top w:val="none" w:sz="0" w:space="0" w:color="auto"/>
        <w:left w:val="none" w:sz="0" w:space="0" w:color="auto"/>
        <w:bottom w:val="none" w:sz="0" w:space="0" w:color="auto"/>
        <w:right w:val="none" w:sz="0" w:space="0" w:color="auto"/>
      </w:divBdr>
    </w:div>
    <w:div w:id="2046370717">
      <w:bodyDiv w:val="1"/>
      <w:marLeft w:val="0"/>
      <w:marRight w:val="0"/>
      <w:marTop w:val="0"/>
      <w:marBottom w:val="0"/>
      <w:divBdr>
        <w:top w:val="none" w:sz="0" w:space="0" w:color="auto"/>
        <w:left w:val="none" w:sz="0" w:space="0" w:color="auto"/>
        <w:bottom w:val="none" w:sz="0" w:space="0" w:color="auto"/>
        <w:right w:val="none" w:sz="0" w:space="0" w:color="auto"/>
      </w:divBdr>
    </w:div>
    <w:div w:id="2051492600">
      <w:bodyDiv w:val="1"/>
      <w:marLeft w:val="0"/>
      <w:marRight w:val="0"/>
      <w:marTop w:val="0"/>
      <w:marBottom w:val="0"/>
      <w:divBdr>
        <w:top w:val="none" w:sz="0" w:space="0" w:color="auto"/>
        <w:left w:val="none" w:sz="0" w:space="0" w:color="auto"/>
        <w:bottom w:val="none" w:sz="0" w:space="0" w:color="auto"/>
        <w:right w:val="none" w:sz="0" w:space="0" w:color="auto"/>
      </w:divBdr>
    </w:div>
    <w:div w:id="2077895311">
      <w:bodyDiv w:val="1"/>
      <w:marLeft w:val="0"/>
      <w:marRight w:val="0"/>
      <w:marTop w:val="0"/>
      <w:marBottom w:val="0"/>
      <w:divBdr>
        <w:top w:val="none" w:sz="0" w:space="0" w:color="auto"/>
        <w:left w:val="none" w:sz="0" w:space="0" w:color="auto"/>
        <w:bottom w:val="none" w:sz="0" w:space="0" w:color="auto"/>
        <w:right w:val="none" w:sz="0" w:space="0" w:color="auto"/>
      </w:divBdr>
    </w:div>
    <w:div w:id="213748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2.png" Type="http://schemas.openxmlformats.org/officeDocument/2006/relationships/image"/>
<Relationship Id="rId11" Target="http://www.manpowergroup.es" TargetMode="External" Type="http://schemas.openxmlformats.org/officeDocument/2006/relationships/hyperlink"/>
<Relationship Id="rId12" Target="mailto:comunicacion.manpowergroup@havas.com" TargetMode="External" Type="http://schemas.openxmlformats.org/officeDocument/2006/relationships/hyperlink"/>
<Relationship Id="rId13" Target="mailto:gala.diaz@manpowergroup.es" TargetMode="External" Type="http://schemas.openxmlformats.org/officeDocument/2006/relationships/hyperlink"/>
<Relationship Id="rId14" Target="mailto:juan.gomez@manpowergroup.es" TargetMode="External" Type="http://schemas.openxmlformats.org/officeDocument/2006/relationships/hyperlink"/>
<Relationship Id="rId15" Target="header1.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manpowergroup.es/estudios/estudio-de-proyeccion-de-empleo-de-manpowergroup-para-el-tercer-trimestre-de-2026" TargetMode="External" Type="http://schemas.openxmlformats.org/officeDocument/2006/relationships/hyperlink"/>
<Relationship Id="rId9" Target="media/image1.png" Type="http://schemas.openxmlformats.org/officeDocument/2006/relationships/image"/>
</Relationships>

</file>

<file path=word/_rels/footer2.xml.rels><?xml version="1.0" encoding="UTF-8" standalone="no"?>
<Relationships xmlns="http://schemas.openxmlformats.org/package/2006/relationships">
<Relationship Id="rId1" Target="media/image5.png" Type="http://schemas.openxmlformats.org/officeDocument/2006/relationships/image"/>
</Relationships>

</file>

<file path=word/_rels/header1.xml.rels><?xml version="1.0" encoding="UTF-8" standalone="no"?>
<Relationships xmlns="http://schemas.openxmlformats.org/package/2006/relationships">
<Relationship Id="rId1" Target="media/image3.jpeg" Type="http://schemas.openxmlformats.org/officeDocument/2006/relationships/image"/>
<Relationship Id="rId2" Target="media/image4.pn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51664-C86E-4AA0-BC64-DDE645A0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1185</Words>
  <Characters>6521</Characters>
  <Application/>
  <DocSecurity>0</DocSecurity>
  <Lines>54</Lines>
  <Paragraphs>15</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7691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