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6E9374D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17076E">
        <w:rPr>
          <w:rFonts w:ascii="Arial" w:eastAsia="Arial" w:hAnsi="Arial" w:cs="Arial"/>
          <w:b/>
          <w:color w:val="000000"/>
          <w:sz w:val="20"/>
          <w:szCs w:val="20"/>
          <w:u w:val="single"/>
        </w:rPr>
        <w:t>4</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0307CD36" w14:textId="45BF62CF" w:rsidR="0011037D" w:rsidRPr="00142E26" w:rsidRDefault="002E289B" w:rsidP="00356679">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El desajuste de talento </w:t>
      </w:r>
      <w:r w:rsidR="0019152E">
        <w:rPr>
          <w:rFonts w:ascii="Arial" w:eastAsia="Arial" w:hAnsi="Arial" w:cs="Arial"/>
          <w:b/>
          <w:bCs/>
          <w:sz w:val="36"/>
          <w:szCs w:val="36"/>
        </w:rPr>
        <w:t xml:space="preserve">muestra un leve descenso tras </w:t>
      </w:r>
      <w:r>
        <w:rPr>
          <w:rFonts w:ascii="Arial" w:eastAsia="Arial" w:hAnsi="Arial" w:cs="Arial"/>
          <w:b/>
          <w:bCs/>
          <w:sz w:val="36"/>
          <w:szCs w:val="36"/>
        </w:rPr>
        <w:t>una década</w:t>
      </w:r>
      <w:r w:rsidR="0019152E">
        <w:rPr>
          <w:rFonts w:ascii="Arial" w:eastAsia="Arial" w:hAnsi="Arial" w:cs="Arial"/>
          <w:b/>
          <w:bCs/>
          <w:sz w:val="36"/>
          <w:szCs w:val="36"/>
        </w:rPr>
        <w:t xml:space="preserve"> de crecimiento</w:t>
      </w:r>
    </w:p>
    <w:p w14:paraId="27D61B76" w14:textId="77777777" w:rsidR="005838B1" w:rsidRPr="00142E26" w:rsidRDefault="005838B1" w:rsidP="00356679">
      <w:pPr>
        <w:pStyle w:val="Prrafodelista"/>
        <w:spacing w:before="120" w:line="288" w:lineRule="auto"/>
        <w:ind w:left="0" w:right="-1"/>
        <w:contextualSpacing w:val="0"/>
        <w:jc w:val="center"/>
        <w:rPr>
          <w:rFonts w:ascii="Arial" w:eastAsia="Arial" w:hAnsi="Arial" w:cs="Arial"/>
          <w:u w:val="single"/>
        </w:rPr>
      </w:pPr>
    </w:p>
    <w:p w14:paraId="650DAB8E" w14:textId="34CD9FBD" w:rsidR="002E289B" w:rsidRDefault="002E289B" w:rsidP="00356679">
      <w:pPr>
        <w:pStyle w:val="Prrafodelista"/>
        <w:numPr>
          <w:ilvl w:val="0"/>
          <w:numId w:val="1"/>
        </w:numPr>
        <w:spacing w:before="120" w:line="288" w:lineRule="auto"/>
        <w:contextualSpacing w:val="0"/>
        <w:jc w:val="both"/>
        <w:rPr>
          <w:rFonts w:ascii="Arial" w:eastAsia="Arial" w:hAnsi="Arial" w:cs="Arial"/>
          <w:b/>
          <w:sz w:val="23"/>
          <w:szCs w:val="23"/>
        </w:rPr>
      </w:pPr>
      <w:bookmarkStart w:id="0" w:name="_Hlk113557077"/>
      <w:r>
        <w:rPr>
          <w:rFonts w:ascii="Arial" w:eastAsia="Arial" w:hAnsi="Arial" w:cs="Arial"/>
          <w:b/>
          <w:sz w:val="23"/>
          <w:szCs w:val="23"/>
        </w:rPr>
        <w:t xml:space="preserve">Tras alcanzar el máximo histórico en 2022 y 2023 (80%), el porcentaje de empresas que afirman tener dificultades para incorporar los </w:t>
      </w:r>
      <w:r w:rsidR="002A1736">
        <w:rPr>
          <w:rFonts w:ascii="Arial" w:eastAsia="Arial" w:hAnsi="Arial" w:cs="Arial"/>
          <w:b/>
          <w:sz w:val="23"/>
          <w:szCs w:val="23"/>
        </w:rPr>
        <w:t xml:space="preserve">perfiles </w:t>
      </w:r>
      <w:r w:rsidR="0006407D">
        <w:rPr>
          <w:rFonts w:ascii="Arial" w:eastAsia="Arial" w:hAnsi="Arial" w:cs="Arial"/>
          <w:b/>
          <w:sz w:val="23"/>
          <w:szCs w:val="23"/>
        </w:rPr>
        <w:t xml:space="preserve">mejora y </w:t>
      </w:r>
      <w:r w:rsidR="0019152E">
        <w:rPr>
          <w:rFonts w:ascii="Arial" w:eastAsia="Arial" w:hAnsi="Arial" w:cs="Arial"/>
          <w:b/>
          <w:sz w:val="23"/>
          <w:szCs w:val="23"/>
        </w:rPr>
        <w:t xml:space="preserve">desciende dos puntos </w:t>
      </w:r>
      <w:r>
        <w:rPr>
          <w:rFonts w:ascii="Arial" w:eastAsia="Arial" w:hAnsi="Arial" w:cs="Arial"/>
          <w:b/>
          <w:sz w:val="23"/>
          <w:szCs w:val="23"/>
        </w:rPr>
        <w:t>hasta el 78%.</w:t>
      </w:r>
    </w:p>
    <w:p w14:paraId="30017C10" w14:textId="7032F07C" w:rsidR="00743A94" w:rsidRDefault="002A1736"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compañías de</w:t>
      </w:r>
      <w:r w:rsidR="00743A94" w:rsidRPr="00743A94">
        <w:rPr>
          <w:rFonts w:ascii="Arial" w:eastAsia="Arial" w:hAnsi="Arial" w:cs="Arial"/>
          <w:b/>
          <w:sz w:val="23"/>
          <w:szCs w:val="23"/>
        </w:rPr>
        <w:t xml:space="preserve">l sector de Transporte, logística y automoción </w:t>
      </w:r>
      <w:r w:rsidR="00743A94">
        <w:rPr>
          <w:rFonts w:ascii="Arial" w:eastAsia="Arial" w:hAnsi="Arial" w:cs="Arial"/>
          <w:b/>
          <w:sz w:val="23"/>
          <w:szCs w:val="23"/>
        </w:rPr>
        <w:t>registra</w:t>
      </w:r>
      <w:r>
        <w:rPr>
          <w:rFonts w:ascii="Arial" w:eastAsia="Arial" w:hAnsi="Arial" w:cs="Arial"/>
          <w:b/>
          <w:sz w:val="23"/>
          <w:szCs w:val="23"/>
        </w:rPr>
        <w:t>n, con</w:t>
      </w:r>
      <w:r w:rsidR="00743A94" w:rsidRPr="00743A94">
        <w:rPr>
          <w:rFonts w:ascii="Arial" w:eastAsia="Arial" w:hAnsi="Arial" w:cs="Arial"/>
          <w:b/>
          <w:sz w:val="23"/>
          <w:szCs w:val="23"/>
        </w:rPr>
        <w:t xml:space="preserve"> un 86%</w:t>
      </w:r>
      <w:r>
        <w:rPr>
          <w:rFonts w:ascii="Arial" w:eastAsia="Arial" w:hAnsi="Arial" w:cs="Arial"/>
          <w:b/>
          <w:sz w:val="23"/>
          <w:szCs w:val="23"/>
        </w:rPr>
        <w:t xml:space="preserve">, las mayores </w:t>
      </w:r>
      <w:r w:rsidR="00743A94" w:rsidRPr="00743A94">
        <w:rPr>
          <w:rFonts w:ascii="Arial" w:eastAsia="Arial" w:hAnsi="Arial" w:cs="Arial"/>
          <w:b/>
          <w:sz w:val="23"/>
          <w:szCs w:val="23"/>
        </w:rPr>
        <w:t>dificultades para encontrar los profesionales que necesitan.</w:t>
      </w:r>
    </w:p>
    <w:p w14:paraId="7550F575" w14:textId="1B2895CB" w:rsidR="002A1736" w:rsidRPr="00CA50B7" w:rsidRDefault="002A1736" w:rsidP="002A1736">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color w:val="000000"/>
          <w:sz w:val="23"/>
          <w:szCs w:val="23"/>
        </w:rPr>
        <w:t>P</w:t>
      </w:r>
      <w:r w:rsidRPr="00CA50B7">
        <w:rPr>
          <w:rFonts w:ascii="Arial" w:eastAsia="Arial" w:hAnsi="Arial" w:cs="Arial"/>
          <w:b/>
          <w:color w:val="000000"/>
          <w:sz w:val="23"/>
          <w:szCs w:val="23"/>
        </w:rPr>
        <w:t xml:space="preserve">ara </w:t>
      </w:r>
      <w:r w:rsidR="008B3A52">
        <w:rPr>
          <w:rFonts w:ascii="Arial" w:eastAsia="Arial" w:hAnsi="Arial" w:cs="Arial"/>
          <w:b/>
          <w:color w:val="000000"/>
          <w:sz w:val="23"/>
          <w:szCs w:val="23"/>
        </w:rPr>
        <w:t>poder atraer talento</w:t>
      </w:r>
      <w:r w:rsidRPr="00CA50B7">
        <w:rPr>
          <w:rFonts w:ascii="Arial" w:eastAsia="Arial" w:hAnsi="Arial" w:cs="Arial"/>
          <w:b/>
          <w:color w:val="000000"/>
          <w:sz w:val="23"/>
          <w:szCs w:val="23"/>
        </w:rPr>
        <w:t>, la flexibilidad con los horarios y el teletrabajo son las principales herramientas por las que apuestan las empresas españolas.</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6A182844" w14:textId="26964EC7" w:rsidR="006B0824" w:rsidRPr="006B0824"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r w:rsidR="003E08D8">
        <w:rPr>
          <w:rFonts w:ascii="Arial" w:eastAsia="Arial" w:hAnsi="Arial" w:cs="Arial"/>
          <w:b/>
          <w:sz w:val="22"/>
          <w:szCs w:val="22"/>
        </w:rPr>
        <w:t>7</w:t>
      </w:r>
      <w:r w:rsidR="0018572B" w:rsidRPr="00142E26">
        <w:rPr>
          <w:rFonts w:ascii="Arial" w:eastAsia="Arial" w:hAnsi="Arial" w:cs="Arial"/>
          <w:b/>
          <w:sz w:val="22"/>
          <w:szCs w:val="22"/>
        </w:rPr>
        <w:t xml:space="preserve"> </w:t>
      </w:r>
      <w:r w:rsidR="005D1AE9" w:rsidRPr="00142E26">
        <w:rPr>
          <w:rFonts w:ascii="Arial" w:eastAsia="Arial" w:hAnsi="Arial" w:cs="Arial"/>
          <w:b/>
          <w:sz w:val="22"/>
          <w:szCs w:val="22"/>
        </w:rPr>
        <w:t xml:space="preserve">de </w:t>
      </w:r>
      <w:r w:rsidR="003E08D8">
        <w:rPr>
          <w:rFonts w:ascii="Arial" w:eastAsia="Arial" w:hAnsi="Arial" w:cs="Arial"/>
          <w:b/>
          <w:sz w:val="22"/>
          <w:szCs w:val="22"/>
        </w:rPr>
        <w:t xml:space="preserve">febrero </w:t>
      </w:r>
      <w:r w:rsidRPr="00142E26">
        <w:rPr>
          <w:rFonts w:ascii="Arial" w:eastAsia="Arial" w:hAnsi="Arial" w:cs="Arial"/>
          <w:b/>
          <w:sz w:val="22"/>
          <w:szCs w:val="22"/>
        </w:rPr>
        <w:t>de 202</w:t>
      </w:r>
      <w:r w:rsidR="00122E68">
        <w:rPr>
          <w:rFonts w:ascii="Arial" w:eastAsia="Arial" w:hAnsi="Arial" w:cs="Arial"/>
          <w:b/>
          <w:sz w:val="22"/>
          <w:szCs w:val="22"/>
        </w:rPr>
        <w:t>4</w:t>
      </w:r>
      <w:r w:rsidRPr="00142E26">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142E26">
        <w:rPr>
          <w:rFonts w:ascii="Arial" w:eastAsia="Arial" w:hAnsi="Arial" w:cs="Arial"/>
          <w:b/>
          <w:sz w:val="22"/>
          <w:szCs w:val="22"/>
        </w:rPr>
        <w:t xml:space="preserve"> </w:t>
      </w:r>
      <w:bookmarkStart w:id="5" w:name="_Hlk130837822"/>
      <w:r w:rsidR="00A01277" w:rsidRPr="002E289B">
        <w:rPr>
          <w:rFonts w:ascii="Arial" w:eastAsia="Arial" w:hAnsi="Arial" w:cs="Arial"/>
          <w:bCs/>
          <w:sz w:val="22"/>
          <w:szCs w:val="22"/>
        </w:rPr>
        <w:t>E</w:t>
      </w:r>
      <w:r w:rsidR="00F963D2" w:rsidRPr="002E289B">
        <w:rPr>
          <w:rFonts w:ascii="Arial" w:eastAsia="Arial" w:hAnsi="Arial" w:cs="Arial"/>
          <w:bCs/>
          <w:sz w:val="22"/>
          <w:szCs w:val="22"/>
        </w:rPr>
        <w:t xml:space="preserve">l </w:t>
      </w:r>
      <w:r w:rsidR="0019152E">
        <w:rPr>
          <w:rFonts w:ascii="Arial" w:eastAsia="Arial" w:hAnsi="Arial" w:cs="Arial"/>
          <w:bCs/>
          <w:sz w:val="22"/>
          <w:szCs w:val="22"/>
        </w:rPr>
        <w:t xml:space="preserve">índice de </w:t>
      </w:r>
      <w:r w:rsidR="00F963D2" w:rsidRPr="002E289B">
        <w:rPr>
          <w:rFonts w:ascii="Arial" w:eastAsia="Arial" w:hAnsi="Arial" w:cs="Arial"/>
          <w:bCs/>
          <w:sz w:val="22"/>
          <w:szCs w:val="22"/>
        </w:rPr>
        <w:t>desajuste de talento</w:t>
      </w:r>
      <w:r w:rsidR="003E08D8">
        <w:rPr>
          <w:rFonts w:ascii="Arial" w:eastAsia="Arial" w:hAnsi="Arial" w:cs="Arial"/>
          <w:bCs/>
          <w:sz w:val="22"/>
          <w:szCs w:val="22"/>
        </w:rPr>
        <w:t xml:space="preserve"> que realiza anualmente ManpowerGroup,</w:t>
      </w:r>
      <w:r w:rsidR="00F963D2">
        <w:rPr>
          <w:rFonts w:ascii="Arial" w:eastAsia="Arial" w:hAnsi="Arial" w:cs="Arial"/>
          <w:bCs/>
          <w:sz w:val="22"/>
          <w:szCs w:val="22"/>
        </w:rPr>
        <w:t xml:space="preserve"> </w:t>
      </w:r>
      <w:r w:rsidR="0019152E">
        <w:rPr>
          <w:rFonts w:ascii="Arial" w:eastAsia="Arial" w:hAnsi="Arial" w:cs="Arial"/>
          <w:bCs/>
          <w:sz w:val="22"/>
          <w:szCs w:val="22"/>
        </w:rPr>
        <w:t xml:space="preserve">mide la </w:t>
      </w:r>
      <w:r w:rsidR="003E08D8">
        <w:rPr>
          <w:rFonts w:ascii="Arial" w:eastAsia="Arial" w:hAnsi="Arial" w:cs="Arial"/>
          <w:bCs/>
          <w:sz w:val="22"/>
          <w:szCs w:val="22"/>
        </w:rPr>
        <w:t xml:space="preserve">percepción de </w:t>
      </w:r>
      <w:r w:rsidR="0019152E">
        <w:rPr>
          <w:rFonts w:ascii="Arial" w:eastAsia="Arial" w:hAnsi="Arial" w:cs="Arial"/>
          <w:bCs/>
          <w:sz w:val="22"/>
          <w:szCs w:val="22"/>
        </w:rPr>
        <w:t xml:space="preserve">las empresas </w:t>
      </w:r>
      <w:r w:rsidR="003E08D8">
        <w:rPr>
          <w:rFonts w:ascii="Arial" w:eastAsia="Arial" w:hAnsi="Arial" w:cs="Arial"/>
          <w:bCs/>
          <w:sz w:val="22"/>
          <w:szCs w:val="22"/>
        </w:rPr>
        <w:t xml:space="preserve">sobre </w:t>
      </w:r>
      <w:r w:rsidR="0019152E">
        <w:rPr>
          <w:rFonts w:ascii="Arial" w:eastAsia="Arial" w:hAnsi="Arial" w:cs="Arial"/>
          <w:bCs/>
          <w:sz w:val="22"/>
          <w:szCs w:val="22"/>
        </w:rPr>
        <w:t>la dificultad para incorporar a los perfiles que necesitan</w:t>
      </w:r>
      <w:r w:rsidR="003E08D8">
        <w:rPr>
          <w:rFonts w:ascii="Arial" w:eastAsia="Arial" w:hAnsi="Arial" w:cs="Arial"/>
          <w:bCs/>
          <w:sz w:val="22"/>
          <w:szCs w:val="22"/>
        </w:rPr>
        <w:t xml:space="preserve">. </w:t>
      </w:r>
      <w:r w:rsidR="00F963D2">
        <w:rPr>
          <w:rFonts w:ascii="Arial" w:eastAsia="Arial" w:hAnsi="Arial" w:cs="Arial"/>
          <w:bCs/>
          <w:sz w:val="22"/>
          <w:szCs w:val="22"/>
        </w:rPr>
        <w:t xml:space="preserve">Así, tras alcanzar el 80% en los años 2022 y 2023 </w:t>
      </w:r>
      <w:r w:rsidR="003E08D8">
        <w:rPr>
          <w:rFonts w:ascii="Arial" w:eastAsia="Arial" w:hAnsi="Arial" w:cs="Arial"/>
          <w:bCs/>
          <w:sz w:val="22"/>
          <w:szCs w:val="22"/>
        </w:rPr>
        <w:t>-</w:t>
      </w:r>
      <w:r w:rsidR="0019152E">
        <w:rPr>
          <w:rFonts w:ascii="Arial" w:eastAsia="Arial" w:hAnsi="Arial" w:cs="Arial"/>
          <w:bCs/>
          <w:sz w:val="22"/>
          <w:szCs w:val="22"/>
        </w:rPr>
        <w:t>dato que</w:t>
      </w:r>
      <w:r w:rsidR="00914020">
        <w:rPr>
          <w:rFonts w:ascii="Arial" w:eastAsia="Arial" w:hAnsi="Arial" w:cs="Arial"/>
          <w:bCs/>
          <w:sz w:val="22"/>
          <w:szCs w:val="22"/>
        </w:rPr>
        <w:t>,</w:t>
      </w:r>
      <w:r w:rsidR="00F963D2">
        <w:rPr>
          <w:rFonts w:ascii="Arial" w:eastAsia="Arial" w:hAnsi="Arial" w:cs="Arial"/>
          <w:bCs/>
          <w:sz w:val="22"/>
          <w:szCs w:val="22"/>
        </w:rPr>
        <w:t xml:space="preserve"> además,</w:t>
      </w:r>
      <w:r w:rsidR="005A44F4">
        <w:rPr>
          <w:rFonts w:ascii="Arial" w:eastAsia="Arial" w:hAnsi="Arial" w:cs="Arial"/>
          <w:bCs/>
          <w:sz w:val="22"/>
          <w:szCs w:val="22"/>
        </w:rPr>
        <w:t xml:space="preserve"> supuso </w:t>
      </w:r>
      <w:r w:rsidR="00F963D2">
        <w:rPr>
          <w:rFonts w:ascii="Arial" w:eastAsia="Arial" w:hAnsi="Arial" w:cs="Arial"/>
          <w:bCs/>
          <w:sz w:val="22"/>
          <w:szCs w:val="22"/>
        </w:rPr>
        <w:t>el máximo histórico</w:t>
      </w:r>
      <w:r w:rsidR="003E08D8">
        <w:rPr>
          <w:rFonts w:ascii="Arial" w:eastAsia="Arial" w:hAnsi="Arial" w:cs="Arial"/>
          <w:bCs/>
          <w:sz w:val="22"/>
          <w:szCs w:val="22"/>
        </w:rPr>
        <w:t>-</w:t>
      </w:r>
      <w:r w:rsidR="00F963D2">
        <w:rPr>
          <w:rFonts w:ascii="Arial" w:eastAsia="Arial" w:hAnsi="Arial" w:cs="Arial"/>
          <w:bCs/>
          <w:sz w:val="22"/>
          <w:szCs w:val="22"/>
        </w:rPr>
        <w:t xml:space="preserve">, </w:t>
      </w:r>
      <w:r w:rsidR="00635FD7">
        <w:rPr>
          <w:rFonts w:ascii="Arial" w:eastAsia="Arial" w:hAnsi="Arial" w:cs="Arial"/>
          <w:bCs/>
          <w:sz w:val="22"/>
          <w:szCs w:val="22"/>
        </w:rPr>
        <w:t xml:space="preserve">según </w:t>
      </w:r>
      <w:r w:rsidR="00F963D2">
        <w:rPr>
          <w:rFonts w:ascii="Arial" w:eastAsia="Arial" w:hAnsi="Arial" w:cs="Arial"/>
          <w:bCs/>
          <w:sz w:val="22"/>
          <w:szCs w:val="22"/>
        </w:rPr>
        <w:t xml:space="preserve">la edición </w:t>
      </w:r>
      <w:r w:rsidR="003E08D8">
        <w:rPr>
          <w:rFonts w:ascii="Arial" w:eastAsia="Arial" w:hAnsi="Arial" w:cs="Arial"/>
          <w:bCs/>
          <w:sz w:val="22"/>
          <w:szCs w:val="22"/>
        </w:rPr>
        <w:t>de 2024</w:t>
      </w:r>
      <w:r w:rsidR="00914020" w:rsidRPr="007E2DCC">
        <w:rPr>
          <w:rFonts w:ascii="Arial" w:eastAsia="Arial" w:hAnsi="Arial" w:cs="Arial"/>
          <w:bCs/>
          <w:sz w:val="22"/>
          <w:szCs w:val="22"/>
        </w:rPr>
        <w:t>,</w:t>
      </w:r>
      <w:r w:rsidR="00914020">
        <w:rPr>
          <w:rFonts w:ascii="Arial" w:eastAsia="Arial" w:hAnsi="Arial" w:cs="Arial"/>
          <w:b/>
          <w:sz w:val="22"/>
          <w:szCs w:val="22"/>
        </w:rPr>
        <w:t xml:space="preserve"> </w:t>
      </w:r>
      <w:r w:rsidR="0019152E">
        <w:rPr>
          <w:rFonts w:ascii="Arial" w:eastAsia="Arial" w:hAnsi="Arial" w:cs="Arial"/>
          <w:b/>
          <w:sz w:val="22"/>
          <w:szCs w:val="22"/>
        </w:rPr>
        <w:t xml:space="preserve">un 78% de las compañías </w:t>
      </w:r>
      <w:r w:rsidR="00914020">
        <w:rPr>
          <w:rFonts w:ascii="Arial" w:eastAsia="Arial" w:hAnsi="Arial" w:cs="Arial"/>
          <w:b/>
          <w:sz w:val="22"/>
          <w:szCs w:val="22"/>
        </w:rPr>
        <w:t xml:space="preserve">afirma tener </w:t>
      </w:r>
      <w:r w:rsidR="003E08D8">
        <w:rPr>
          <w:rFonts w:ascii="Arial" w:eastAsia="Arial" w:hAnsi="Arial" w:cs="Arial"/>
          <w:b/>
          <w:sz w:val="22"/>
          <w:szCs w:val="22"/>
        </w:rPr>
        <w:t xml:space="preserve">problemas </w:t>
      </w:r>
      <w:r w:rsidR="00914020">
        <w:rPr>
          <w:rFonts w:ascii="Arial" w:eastAsia="Arial" w:hAnsi="Arial" w:cs="Arial"/>
          <w:b/>
          <w:sz w:val="22"/>
          <w:szCs w:val="22"/>
        </w:rPr>
        <w:t xml:space="preserve">para incorporar </w:t>
      </w:r>
      <w:r w:rsidR="0019152E">
        <w:rPr>
          <w:rFonts w:ascii="Arial" w:eastAsia="Arial" w:hAnsi="Arial" w:cs="Arial"/>
          <w:b/>
          <w:sz w:val="22"/>
          <w:szCs w:val="22"/>
        </w:rPr>
        <w:t xml:space="preserve">a </w:t>
      </w:r>
      <w:r w:rsidR="00914020">
        <w:rPr>
          <w:rFonts w:ascii="Arial" w:eastAsia="Arial" w:hAnsi="Arial" w:cs="Arial"/>
          <w:b/>
          <w:sz w:val="22"/>
          <w:szCs w:val="22"/>
        </w:rPr>
        <w:t xml:space="preserve">los profesionales que </w:t>
      </w:r>
      <w:r w:rsidR="0019152E">
        <w:rPr>
          <w:rFonts w:ascii="Arial" w:eastAsia="Arial" w:hAnsi="Arial" w:cs="Arial"/>
          <w:b/>
          <w:sz w:val="22"/>
          <w:szCs w:val="22"/>
        </w:rPr>
        <w:t>buscan</w:t>
      </w:r>
      <w:r w:rsidR="00914020">
        <w:rPr>
          <w:rFonts w:ascii="Arial" w:eastAsia="Arial" w:hAnsi="Arial" w:cs="Arial"/>
          <w:b/>
          <w:sz w:val="22"/>
          <w:szCs w:val="22"/>
        </w:rPr>
        <w:t>.</w:t>
      </w:r>
      <w:r w:rsidR="003E08D8">
        <w:rPr>
          <w:rFonts w:ascii="Arial" w:eastAsia="Arial" w:hAnsi="Arial" w:cs="Arial"/>
          <w:bCs/>
          <w:sz w:val="22"/>
          <w:szCs w:val="22"/>
        </w:rPr>
        <w:t xml:space="preserve"> O lo que es lo mismo, les resulta ligeramente menos complicado encontrar el talento que necesitan.</w:t>
      </w:r>
    </w:p>
    <w:p w14:paraId="2024CB1A" w14:textId="62C4F04B" w:rsidR="006B0824" w:rsidRPr="00356679" w:rsidRDefault="002A1736" w:rsidP="00356679">
      <w:pPr>
        <w:spacing w:before="120" w:line="288" w:lineRule="auto"/>
        <w:jc w:val="right"/>
        <w:rPr>
          <w:rFonts w:ascii="Arial" w:eastAsia="Arial" w:hAnsi="Arial" w:cs="Arial"/>
          <w:b/>
          <w:sz w:val="18"/>
          <w:szCs w:val="18"/>
        </w:rPr>
      </w:pPr>
      <w:r>
        <w:rPr>
          <w:rFonts w:ascii="Arial" w:eastAsia="Arial" w:hAnsi="Arial" w:cs="Arial"/>
          <w:bCs/>
          <w:i/>
          <w:iCs/>
          <w:noProof/>
          <w:sz w:val="18"/>
          <w:szCs w:val="18"/>
        </w:rPr>
        <w:drawing>
          <wp:inline distT="0" distB="0" distL="0" distR="0" wp14:anchorId="092FABB3" wp14:editId="7EFE4C74">
            <wp:extent cx="5748579" cy="197167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4937" cy="1991007"/>
                    </a:xfrm>
                    <a:prstGeom prst="rect">
                      <a:avLst/>
                    </a:prstGeom>
                    <a:noFill/>
                  </pic:spPr>
                </pic:pic>
              </a:graphicData>
            </a:graphic>
          </wp:inline>
        </w:drawing>
      </w:r>
      <w:r w:rsidR="003E08D8" w:rsidRPr="00356679">
        <w:rPr>
          <w:rFonts w:ascii="Arial" w:eastAsia="Arial" w:hAnsi="Arial" w:cs="Arial"/>
          <w:bCs/>
          <w:i/>
          <w:iCs/>
          <w:sz w:val="18"/>
          <w:szCs w:val="18"/>
        </w:rPr>
        <w:t>Evolución del desajuste de talento en España</w:t>
      </w:r>
    </w:p>
    <w:p w14:paraId="379506A9" w14:textId="77777777" w:rsidR="00123015" w:rsidRDefault="00123015" w:rsidP="00356679">
      <w:pPr>
        <w:spacing w:before="120" w:line="288" w:lineRule="auto"/>
        <w:jc w:val="both"/>
        <w:rPr>
          <w:rFonts w:ascii="Arial" w:eastAsia="Arial" w:hAnsi="Arial" w:cs="Arial"/>
          <w:bCs/>
          <w:sz w:val="22"/>
          <w:szCs w:val="22"/>
        </w:rPr>
      </w:pPr>
    </w:p>
    <w:p w14:paraId="77442329" w14:textId="63A8CBD1" w:rsidR="003E08D8" w:rsidRDefault="003E08D8" w:rsidP="00356679">
      <w:pPr>
        <w:spacing w:before="120" w:line="288" w:lineRule="auto"/>
        <w:jc w:val="both"/>
        <w:rPr>
          <w:rFonts w:ascii="Arial" w:eastAsia="Arial" w:hAnsi="Arial" w:cs="Arial"/>
          <w:bCs/>
          <w:sz w:val="22"/>
          <w:szCs w:val="22"/>
        </w:rPr>
      </w:pPr>
      <w:r>
        <w:rPr>
          <w:rFonts w:ascii="Arial" w:eastAsia="Arial" w:hAnsi="Arial" w:cs="Arial"/>
          <w:bCs/>
          <w:sz w:val="22"/>
          <w:szCs w:val="22"/>
        </w:rPr>
        <w:t>A pesar de esta leve mejoría</w:t>
      </w:r>
      <w:r w:rsidR="005A44F4">
        <w:rPr>
          <w:rFonts w:ascii="Arial" w:eastAsia="Arial" w:hAnsi="Arial" w:cs="Arial"/>
          <w:bCs/>
          <w:sz w:val="22"/>
          <w:szCs w:val="22"/>
        </w:rPr>
        <w:t xml:space="preserve"> tras una década de crecimiento</w:t>
      </w:r>
      <w:r>
        <w:rPr>
          <w:rFonts w:ascii="Arial" w:eastAsia="Arial" w:hAnsi="Arial" w:cs="Arial"/>
          <w:bCs/>
          <w:sz w:val="22"/>
          <w:szCs w:val="22"/>
        </w:rPr>
        <w:t>, la cifra de 2024 multiplica por 26 el dato registrado en 2014.</w:t>
      </w:r>
      <w:r w:rsidR="005A44F4">
        <w:rPr>
          <w:rFonts w:ascii="Arial" w:eastAsia="Arial" w:hAnsi="Arial" w:cs="Arial"/>
          <w:bCs/>
          <w:sz w:val="22"/>
          <w:szCs w:val="22"/>
        </w:rPr>
        <w:t xml:space="preserve"> Para hacerle frente</w:t>
      </w:r>
      <w:r w:rsidR="00D73001">
        <w:rPr>
          <w:rFonts w:ascii="Arial" w:eastAsia="Arial" w:hAnsi="Arial" w:cs="Arial"/>
          <w:bCs/>
          <w:sz w:val="22"/>
          <w:szCs w:val="22"/>
        </w:rPr>
        <w:t xml:space="preserve"> a la situación</w:t>
      </w:r>
      <w:r w:rsidR="005A44F4">
        <w:rPr>
          <w:rFonts w:ascii="Arial" w:eastAsia="Arial" w:hAnsi="Arial" w:cs="Arial"/>
          <w:bCs/>
          <w:sz w:val="22"/>
          <w:szCs w:val="22"/>
        </w:rPr>
        <w:t>, la f</w:t>
      </w:r>
      <w:r w:rsidR="005A44F4" w:rsidRPr="005A44F4">
        <w:rPr>
          <w:rFonts w:ascii="Arial" w:eastAsia="Arial" w:hAnsi="Arial" w:cs="Arial"/>
          <w:bCs/>
          <w:sz w:val="22"/>
          <w:szCs w:val="22"/>
        </w:rPr>
        <w:t xml:space="preserve">lexibilidad </w:t>
      </w:r>
      <w:r w:rsidR="005A44F4">
        <w:rPr>
          <w:rFonts w:ascii="Arial" w:eastAsia="Arial" w:hAnsi="Arial" w:cs="Arial"/>
          <w:bCs/>
          <w:sz w:val="22"/>
          <w:szCs w:val="22"/>
        </w:rPr>
        <w:t xml:space="preserve">con los </w:t>
      </w:r>
      <w:r w:rsidR="005A44F4" w:rsidRPr="005A44F4">
        <w:rPr>
          <w:rFonts w:ascii="Arial" w:eastAsia="Arial" w:hAnsi="Arial" w:cs="Arial"/>
          <w:bCs/>
          <w:sz w:val="22"/>
          <w:szCs w:val="22"/>
        </w:rPr>
        <w:t xml:space="preserve">horarios y </w:t>
      </w:r>
      <w:r w:rsidR="005A44F4">
        <w:rPr>
          <w:rFonts w:ascii="Arial" w:eastAsia="Arial" w:hAnsi="Arial" w:cs="Arial"/>
          <w:bCs/>
          <w:sz w:val="22"/>
          <w:szCs w:val="22"/>
        </w:rPr>
        <w:t xml:space="preserve">el </w:t>
      </w:r>
      <w:r w:rsidR="005A44F4" w:rsidRPr="005A44F4">
        <w:rPr>
          <w:rFonts w:ascii="Arial" w:eastAsia="Arial" w:hAnsi="Arial" w:cs="Arial"/>
          <w:bCs/>
          <w:sz w:val="22"/>
          <w:szCs w:val="22"/>
        </w:rPr>
        <w:t xml:space="preserve">teletrabajo, </w:t>
      </w:r>
      <w:r w:rsidR="005A44F4">
        <w:rPr>
          <w:rFonts w:ascii="Arial" w:eastAsia="Arial" w:hAnsi="Arial" w:cs="Arial"/>
          <w:bCs/>
          <w:sz w:val="22"/>
          <w:szCs w:val="22"/>
        </w:rPr>
        <w:t xml:space="preserve">son las principales herramientas por las que apuestan </w:t>
      </w:r>
      <w:r w:rsidR="005A44F4" w:rsidRPr="005A44F4">
        <w:rPr>
          <w:rFonts w:ascii="Arial" w:eastAsia="Arial" w:hAnsi="Arial" w:cs="Arial"/>
          <w:bCs/>
          <w:sz w:val="22"/>
          <w:szCs w:val="22"/>
        </w:rPr>
        <w:t>las empresas españolas para atraer talento</w:t>
      </w:r>
      <w:r w:rsidR="005A44F4">
        <w:rPr>
          <w:rFonts w:ascii="Arial" w:eastAsia="Arial" w:hAnsi="Arial" w:cs="Arial"/>
          <w:bCs/>
          <w:sz w:val="22"/>
          <w:szCs w:val="22"/>
        </w:rPr>
        <w:t>.</w:t>
      </w:r>
    </w:p>
    <w:p w14:paraId="29667426" w14:textId="7014C6E1" w:rsidR="00123015" w:rsidRDefault="00123015" w:rsidP="00356679">
      <w:pPr>
        <w:spacing w:before="120" w:line="288" w:lineRule="auto"/>
        <w:jc w:val="both"/>
        <w:rPr>
          <w:rFonts w:ascii="Arial" w:eastAsia="Arial" w:hAnsi="Arial" w:cs="Arial"/>
          <w:bCs/>
          <w:i/>
          <w:iCs/>
          <w:sz w:val="22"/>
          <w:szCs w:val="22"/>
        </w:rPr>
      </w:pPr>
      <w:r>
        <w:rPr>
          <w:rFonts w:ascii="Arial" w:eastAsia="Arial" w:hAnsi="Arial" w:cs="Arial"/>
          <w:bCs/>
          <w:i/>
          <w:iCs/>
          <w:sz w:val="22"/>
          <w:szCs w:val="22"/>
        </w:rPr>
        <w:lastRenderedPageBreak/>
        <w:t>“</w:t>
      </w:r>
      <w:r w:rsidR="0019152E">
        <w:rPr>
          <w:rFonts w:ascii="Arial" w:eastAsia="Arial" w:hAnsi="Arial" w:cs="Arial"/>
          <w:bCs/>
          <w:i/>
          <w:iCs/>
          <w:sz w:val="22"/>
          <w:szCs w:val="22"/>
        </w:rPr>
        <w:t xml:space="preserve">Confiamos en que este -leve- </w:t>
      </w:r>
      <w:r w:rsidRPr="00123015">
        <w:rPr>
          <w:rFonts w:ascii="Arial" w:eastAsia="Arial" w:hAnsi="Arial" w:cs="Arial"/>
          <w:bCs/>
          <w:i/>
          <w:iCs/>
          <w:sz w:val="22"/>
          <w:szCs w:val="22"/>
        </w:rPr>
        <w:t>descenso del desajuste de talento en 2024 mar</w:t>
      </w:r>
      <w:r w:rsidR="0019152E">
        <w:rPr>
          <w:rFonts w:ascii="Arial" w:eastAsia="Arial" w:hAnsi="Arial" w:cs="Arial"/>
          <w:bCs/>
          <w:i/>
          <w:iCs/>
          <w:sz w:val="22"/>
          <w:szCs w:val="22"/>
        </w:rPr>
        <w:t>que</w:t>
      </w:r>
      <w:r w:rsidRPr="00123015">
        <w:rPr>
          <w:rFonts w:ascii="Arial" w:eastAsia="Arial" w:hAnsi="Arial" w:cs="Arial"/>
          <w:bCs/>
          <w:i/>
          <w:iCs/>
          <w:sz w:val="22"/>
          <w:szCs w:val="22"/>
        </w:rPr>
        <w:t xml:space="preserve"> un punto de inflexión</w:t>
      </w:r>
      <w:r>
        <w:rPr>
          <w:rFonts w:ascii="Arial" w:eastAsia="Arial" w:hAnsi="Arial" w:cs="Arial"/>
          <w:bCs/>
          <w:i/>
          <w:iCs/>
          <w:sz w:val="22"/>
          <w:szCs w:val="22"/>
        </w:rPr>
        <w:t xml:space="preserve">. </w:t>
      </w:r>
      <w:r w:rsidR="0038103A">
        <w:rPr>
          <w:rFonts w:ascii="Arial" w:eastAsia="Arial" w:hAnsi="Arial" w:cs="Arial"/>
          <w:bCs/>
          <w:i/>
          <w:iCs/>
          <w:sz w:val="22"/>
          <w:szCs w:val="22"/>
        </w:rPr>
        <w:t xml:space="preserve">Según nuestro análisis, </w:t>
      </w:r>
      <w:r w:rsidR="00A346D1">
        <w:rPr>
          <w:rFonts w:ascii="Arial" w:eastAsia="Arial" w:hAnsi="Arial" w:cs="Arial"/>
          <w:bCs/>
          <w:i/>
          <w:iCs/>
          <w:sz w:val="22"/>
          <w:szCs w:val="22"/>
        </w:rPr>
        <w:t xml:space="preserve">las empresas son </w:t>
      </w:r>
      <w:r w:rsidR="0038103A">
        <w:rPr>
          <w:rFonts w:ascii="Arial" w:eastAsia="Arial" w:hAnsi="Arial" w:cs="Arial"/>
          <w:bCs/>
          <w:i/>
          <w:iCs/>
          <w:sz w:val="22"/>
          <w:szCs w:val="22"/>
        </w:rPr>
        <w:t xml:space="preserve">más </w:t>
      </w:r>
      <w:r w:rsidR="00A346D1">
        <w:rPr>
          <w:rFonts w:ascii="Arial" w:eastAsia="Arial" w:hAnsi="Arial" w:cs="Arial"/>
          <w:bCs/>
          <w:i/>
          <w:iCs/>
          <w:sz w:val="22"/>
          <w:szCs w:val="22"/>
        </w:rPr>
        <w:t>conscientes del r</w:t>
      </w:r>
      <w:r w:rsidR="0098143A">
        <w:rPr>
          <w:rFonts w:ascii="Arial" w:eastAsia="Arial" w:hAnsi="Arial" w:cs="Arial"/>
          <w:bCs/>
          <w:i/>
          <w:iCs/>
          <w:sz w:val="22"/>
          <w:szCs w:val="22"/>
        </w:rPr>
        <w:t>eto que</w:t>
      </w:r>
      <w:r w:rsidR="0098143A" w:rsidRPr="0098143A">
        <w:rPr>
          <w:rFonts w:ascii="Arial" w:eastAsiaTheme="minorEastAsia" w:hAnsi="Arial" w:cs="Arial"/>
          <w:i/>
          <w:iCs/>
          <w:color w:val="000000" w:themeColor="text1"/>
          <w:kern w:val="24"/>
          <w:sz w:val="32"/>
          <w:szCs w:val="32"/>
        </w:rPr>
        <w:t xml:space="preserve"> </w:t>
      </w:r>
      <w:r w:rsidR="0098143A" w:rsidRPr="0098143A">
        <w:rPr>
          <w:rFonts w:ascii="Arial" w:eastAsia="Arial" w:hAnsi="Arial" w:cs="Arial"/>
          <w:bCs/>
          <w:i/>
          <w:iCs/>
          <w:sz w:val="22"/>
          <w:szCs w:val="22"/>
        </w:rPr>
        <w:t xml:space="preserve">supone no contar con los perfiles que necesitan </w:t>
      </w:r>
      <w:r w:rsidR="00A346D1">
        <w:rPr>
          <w:rFonts w:ascii="Arial" w:eastAsia="Arial" w:hAnsi="Arial" w:cs="Arial"/>
          <w:bCs/>
          <w:i/>
          <w:iCs/>
          <w:sz w:val="22"/>
          <w:szCs w:val="22"/>
        </w:rPr>
        <w:t xml:space="preserve">y están comenzando a </w:t>
      </w:r>
      <w:r w:rsidR="0098143A">
        <w:rPr>
          <w:rFonts w:ascii="Arial" w:eastAsia="Arial" w:hAnsi="Arial" w:cs="Arial"/>
          <w:bCs/>
          <w:i/>
          <w:iCs/>
          <w:sz w:val="22"/>
          <w:szCs w:val="22"/>
        </w:rPr>
        <w:t xml:space="preserve">tomar </w:t>
      </w:r>
      <w:r w:rsidR="00A346D1">
        <w:rPr>
          <w:rFonts w:ascii="Arial" w:eastAsia="Arial" w:hAnsi="Arial" w:cs="Arial"/>
          <w:bCs/>
          <w:i/>
          <w:iCs/>
          <w:sz w:val="22"/>
          <w:szCs w:val="22"/>
        </w:rPr>
        <w:t xml:space="preserve">medidas. </w:t>
      </w:r>
      <w:r w:rsidR="0019152E">
        <w:rPr>
          <w:rFonts w:ascii="Arial" w:eastAsia="Arial" w:hAnsi="Arial" w:cs="Arial"/>
          <w:bCs/>
          <w:i/>
          <w:iCs/>
          <w:sz w:val="22"/>
          <w:szCs w:val="22"/>
        </w:rPr>
        <w:t>No obstante</w:t>
      </w:r>
      <w:r w:rsidR="001B13C9">
        <w:rPr>
          <w:rFonts w:ascii="Arial" w:eastAsia="Arial" w:hAnsi="Arial" w:cs="Arial"/>
          <w:bCs/>
          <w:i/>
          <w:iCs/>
          <w:sz w:val="22"/>
          <w:szCs w:val="22"/>
        </w:rPr>
        <w:t>,</w:t>
      </w:r>
      <w:r w:rsidR="0019152E">
        <w:rPr>
          <w:rFonts w:ascii="Arial" w:eastAsia="Arial" w:hAnsi="Arial" w:cs="Arial"/>
          <w:bCs/>
          <w:i/>
          <w:iCs/>
          <w:sz w:val="22"/>
          <w:szCs w:val="22"/>
        </w:rPr>
        <w:t xml:space="preserve"> </w:t>
      </w:r>
      <w:r w:rsidR="00A346D1">
        <w:rPr>
          <w:rFonts w:ascii="Arial" w:eastAsia="Arial" w:hAnsi="Arial" w:cs="Arial"/>
          <w:bCs/>
          <w:i/>
          <w:iCs/>
          <w:sz w:val="22"/>
          <w:szCs w:val="22"/>
        </w:rPr>
        <w:t xml:space="preserve">hay que </w:t>
      </w:r>
      <w:r w:rsidR="0038103A">
        <w:rPr>
          <w:rFonts w:ascii="Arial" w:eastAsia="Arial" w:hAnsi="Arial" w:cs="Arial"/>
          <w:bCs/>
          <w:i/>
          <w:iCs/>
          <w:sz w:val="22"/>
          <w:szCs w:val="22"/>
        </w:rPr>
        <w:t xml:space="preserve">seguir </w:t>
      </w:r>
      <w:r w:rsidR="00A346D1">
        <w:rPr>
          <w:rFonts w:ascii="Arial" w:eastAsia="Arial" w:hAnsi="Arial" w:cs="Arial"/>
          <w:bCs/>
          <w:i/>
          <w:iCs/>
          <w:sz w:val="22"/>
          <w:szCs w:val="22"/>
        </w:rPr>
        <w:t>alerta</w:t>
      </w:r>
      <w:r w:rsidR="0038103A">
        <w:rPr>
          <w:rFonts w:ascii="Arial" w:eastAsia="Arial" w:hAnsi="Arial" w:cs="Arial"/>
          <w:bCs/>
          <w:i/>
          <w:iCs/>
          <w:sz w:val="22"/>
          <w:szCs w:val="22"/>
        </w:rPr>
        <w:t>, l</w:t>
      </w:r>
      <w:r w:rsidR="0019152E">
        <w:rPr>
          <w:rFonts w:ascii="Arial" w:eastAsia="Arial" w:hAnsi="Arial" w:cs="Arial"/>
          <w:bCs/>
          <w:i/>
          <w:iCs/>
          <w:sz w:val="22"/>
          <w:szCs w:val="22"/>
        </w:rPr>
        <w:t>a cifr</w:t>
      </w:r>
      <w:r w:rsidR="001B13C9">
        <w:rPr>
          <w:rFonts w:ascii="Arial" w:eastAsia="Arial" w:hAnsi="Arial" w:cs="Arial"/>
          <w:bCs/>
          <w:i/>
          <w:iCs/>
          <w:sz w:val="22"/>
          <w:szCs w:val="22"/>
        </w:rPr>
        <w:t>a</w:t>
      </w:r>
      <w:r w:rsidR="0019152E">
        <w:rPr>
          <w:rFonts w:ascii="Arial" w:eastAsia="Arial" w:hAnsi="Arial" w:cs="Arial"/>
          <w:bCs/>
          <w:i/>
          <w:iCs/>
          <w:sz w:val="22"/>
          <w:szCs w:val="22"/>
        </w:rPr>
        <w:t xml:space="preserve"> sigue siendo muy alta y </w:t>
      </w:r>
      <w:r w:rsidR="0038103A">
        <w:rPr>
          <w:rFonts w:ascii="Arial" w:eastAsia="Arial" w:hAnsi="Arial" w:cs="Arial"/>
          <w:bCs/>
          <w:i/>
          <w:iCs/>
          <w:sz w:val="22"/>
          <w:szCs w:val="22"/>
        </w:rPr>
        <w:t xml:space="preserve">se mantiene la </w:t>
      </w:r>
      <w:r w:rsidR="001B13C9">
        <w:rPr>
          <w:rFonts w:ascii="Arial" w:eastAsia="Arial" w:hAnsi="Arial" w:cs="Arial"/>
          <w:bCs/>
          <w:i/>
          <w:iCs/>
          <w:sz w:val="22"/>
          <w:szCs w:val="22"/>
        </w:rPr>
        <w:t>urgencia de abordar políticas</w:t>
      </w:r>
      <w:r w:rsidR="00A346D1">
        <w:rPr>
          <w:rFonts w:ascii="Arial" w:eastAsia="Arial" w:hAnsi="Arial" w:cs="Arial"/>
          <w:bCs/>
          <w:i/>
          <w:iCs/>
          <w:sz w:val="22"/>
          <w:szCs w:val="22"/>
        </w:rPr>
        <w:t xml:space="preserve"> de formación en todos los ámbitos y de </w:t>
      </w:r>
      <w:r w:rsidR="003E08D8">
        <w:rPr>
          <w:rFonts w:ascii="Arial" w:eastAsia="Arial" w:hAnsi="Arial" w:cs="Arial"/>
          <w:bCs/>
          <w:i/>
          <w:iCs/>
          <w:sz w:val="22"/>
          <w:szCs w:val="22"/>
        </w:rPr>
        <w:t xml:space="preserve">colaboración público-privada </w:t>
      </w:r>
      <w:r w:rsidR="0038103A">
        <w:rPr>
          <w:rFonts w:ascii="Arial" w:eastAsia="Arial" w:hAnsi="Arial" w:cs="Arial"/>
          <w:bCs/>
          <w:i/>
          <w:iCs/>
          <w:sz w:val="22"/>
          <w:szCs w:val="22"/>
        </w:rPr>
        <w:t>que ayuden a acercar</w:t>
      </w:r>
      <w:r w:rsidR="001B13C9">
        <w:rPr>
          <w:rFonts w:ascii="Arial" w:eastAsia="Arial" w:hAnsi="Arial" w:cs="Arial"/>
          <w:bCs/>
          <w:i/>
          <w:iCs/>
          <w:sz w:val="22"/>
          <w:szCs w:val="22"/>
        </w:rPr>
        <w:t xml:space="preserve"> la realidad de las empresas y la</w:t>
      </w:r>
      <w:r w:rsidR="003E08D8">
        <w:rPr>
          <w:rFonts w:ascii="Arial" w:eastAsia="Arial" w:hAnsi="Arial" w:cs="Arial"/>
          <w:bCs/>
          <w:i/>
          <w:iCs/>
          <w:sz w:val="22"/>
          <w:szCs w:val="22"/>
        </w:rPr>
        <w:t xml:space="preserve"> del mercado del empleo</w:t>
      </w:r>
      <w:r w:rsidRPr="00123015">
        <w:rPr>
          <w:rFonts w:ascii="Arial" w:eastAsia="Arial" w:hAnsi="Arial" w:cs="Arial"/>
          <w:bCs/>
          <w:sz w:val="22"/>
          <w:szCs w:val="22"/>
        </w:rPr>
        <w:t>”</w:t>
      </w:r>
      <w:r>
        <w:rPr>
          <w:rFonts w:ascii="Arial" w:eastAsia="Arial" w:hAnsi="Arial" w:cs="Arial"/>
          <w:bCs/>
          <w:sz w:val="22"/>
          <w:szCs w:val="22"/>
        </w:rPr>
        <w:t xml:space="preserve">, afirma </w:t>
      </w:r>
      <w:r w:rsidRPr="00123015">
        <w:rPr>
          <w:rFonts w:ascii="Arial" w:eastAsia="Arial" w:hAnsi="Arial" w:cs="Arial"/>
          <w:b/>
          <w:sz w:val="22"/>
          <w:szCs w:val="22"/>
        </w:rPr>
        <w:t>Francisco</w:t>
      </w:r>
      <w:r>
        <w:rPr>
          <w:rFonts w:ascii="Arial" w:eastAsia="Arial" w:hAnsi="Arial" w:cs="Arial"/>
          <w:bCs/>
          <w:sz w:val="22"/>
          <w:szCs w:val="22"/>
        </w:rPr>
        <w:t xml:space="preserve"> </w:t>
      </w:r>
      <w:r>
        <w:rPr>
          <w:rFonts w:ascii="Arial" w:eastAsia="Arial" w:hAnsi="Arial" w:cs="Arial"/>
          <w:b/>
          <w:sz w:val="22"/>
          <w:szCs w:val="22"/>
        </w:rPr>
        <w:t>Ribeiro, Country Manager de ManpowerGroup España.</w:t>
      </w:r>
    </w:p>
    <w:p w14:paraId="5A2166E4" w14:textId="77777777" w:rsidR="00FB69D7" w:rsidRDefault="00FB69D7" w:rsidP="00356679">
      <w:pPr>
        <w:spacing w:before="120" w:line="288" w:lineRule="auto"/>
        <w:jc w:val="both"/>
        <w:rPr>
          <w:rFonts w:ascii="Arial" w:eastAsia="Arial" w:hAnsi="Arial" w:cs="Arial"/>
          <w:bCs/>
          <w:sz w:val="22"/>
          <w:szCs w:val="22"/>
        </w:rPr>
      </w:pPr>
    </w:p>
    <w:p w14:paraId="74C04F80" w14:textId="51F4BA57" w:rsidR="00466751" w:rsidRDefault="00D73001" w:rsidP="00356679">
      <w:pPr>
        <w:spacing w:before="120" w:line="288" w:lineRule="auto"/>
        <w:jc w:val="both"/>
        <w:rPr>
          <w:rFonts w:ascii="Arial" w:eastAsia="Arial" w:hAnsi="Arial" w:cs="Arial"/>
          <w:b/>
          <w:sz w:val="22"/>
          <w:szCs w:val="22"/>
        </w:rPr>
      </w:pPr>
      <w:r>
        <w:rPr>
          <w:rFonts w:ascii="Arial" w:eastAsia="Arial" w:hAnsi="Arial" w:cs="Arial"/>
          <w:b/>
          <w:sz w:val="22"/>
          <w:szCs w:val="22"/>
        </w:rPr>
        <w:t>F</w:t>
      </w:r>
      <w:r w:rsidR="00466751">
        <w:rPr>
          <w:rFonts w:ascii="Arial" w:eastAsia="Arial" w:hAnsi="Arial" w:cs="Arial"/>
          <w:b/>
          <w:sz w:val="22"/>
          <w:szCs w:val="22"/>
        </w:rPr>
        <w:t xml:space="preserve">lexibilidad como </w:t>
      </w:r>
      <w:r w:rsidR="00924550">
        <w:rPr>
          <w:rFonts w:ascii="Arial" w:eastAsia="Arial" w:hAnsi="Arial" w:cs="Arial"/>
          <w:b/>
          <w:sz w:val="22"/>
          <w:szCs w:val="22"/>
        </w:rPr>
        <w:t xml:space="preserve">herramienta de atracción de </w:t>
      </w:r>
      <w:r w:rsidR="00466751">
        <w:rPr>
          <w:rFonts w:ascii="Arial" w:eastAsia="Arial" w:hAnsi="Arial" w:cs="Arial"/>
          <w:b/>
          <w:sz w:val="22"/>
          <w:szCs w:val="22"/>
        </w:rPr>
        <w:t>talento</w:t>
      </w:r>
      <w:r w:rsidR="00356679">
        <w:rPr>
          <w:rFonts w:ascii="Arial" w:eastAsia="Arial" w:hAnsi="Arial" w:cs="Arial"/>
          <w:b/>
          <w:sz w:val="22"/>
          <w:szCs w:val="22"/>
        </w:rPr>
        <w:t xml:space="preserve"> y preocupación </w:t>
      </w:r>
      <w:r>
        <w:rPr>
          <w:rFonts w:ascii="Arial" w:eastAsia="Arial" w:hAnsi="Arial" w:cs="Arial"/>
          <w:b/>
          <w:sz w:val="22"/>
          <w:szCs w:val="22"/>
        </w:rPr>
        <w:t xml:space="preserve">con </w:t>
      </w:r>
      <w:r w:rsidR="00356679">
        <w:rPr>
          <w:rFonts w:ascii="Arial" w:eastAsia="Arial" w:hAnsi="Arial" w:cs="Arial"/>
          <w:b/>
          <w:sz w:val="22"/>
          <w:szCs w:val="22"/>
        </w:rPr>
        <w:t>la IA</w:t>
      </w:r>
    </w:p>
    <w:p w14:paraId="35911340" w14:textId="254B7640" w:rsidR="00466751" w:rsidRDefault="00924550" w:rsidP="00356679">
      <w:pPr>
        <w:spacing w:before="120" w:line="288" w:lineRule="auto"/>
        <w:jc w:val="both"/>
        <w:rPr>
          <w:rFonts w:ascii="Arial" w:eastAsia="Arial" w:hAnsi="Arial" w:cs="Arial"/>
          <w:bCs/>
          <w:sz w:val="22"/>
          <w:szCs w:val="22"/>
        </w:rPr>
      </w:pPr>
      <w:r>
        <w:rPr>
          <w:rFonts w:ascii="Arial" w:eastAsia="Arial" w:hAnsi="Arial" w:cs="Arial"/>
          <w:bCs/>
          <w:sz w:val="22"/>
          <w:szCs w:val="22"/>
        </w:rPr>
        <w:t>L</w:t>
      </w:r>
      <w:r w:rsidR="00DE381F">
        <w:rPr>
          <w:rFonts w:ascii="Arial" w:eastAsia="Arial" w:hAnsi="Arial" w:cs="Arial"/>
          <w:bCs/>
          <w:sz w:val="22"/>
          <w:szCs w:val="22"/>
        </w:rPr>
        <w:t xml:space="preserve">a </w:t>
      </w:r>
      <w:r w:rsidR="008C44D3">
        <w:rPr>
          <w:rFonts w:ascii="Arial" w:eastAsia="Arial" w:hAnsi="Arial" w:cs="Arial"/>
          <w:bCs/>
          <w:sz w:val="22"/>
          <w:szCs w:val="22"/>
        </w:rPr>
        <w:t>mayoría</w:t>
      </w:r>
      <w:r w:rsidR="00DE381F">
        <w:rPr>
          <w:rFonts w:ascii="Arial" w:eastAsia="Arial" w:hAnsi="Arial" w:cs="Arial"/>
          <w:bCs/>
          <w:sz w:val="22"/>
          <w:szCs w:val="22"/>
        </w:rPr>
        <w:t xml:space="preserve"> de las empresas afirma apostar por la flexibilidad</w:t>
      </w:r>
      <w:r>
        <w:rPr>
          <w:rFonts w:ascii="Arial" w:eastAsia="Arial" w:hAnsi="Arial" w:cs="Arial"/>
          <w:bCs/>
          <w:sz w:val="22"/>
          <w:szCs w:val="22"/>
        </w:rPr>
        <w:t xml:space="preserve"> como la principal medida adoptada para hacer frente a esta escasez de talento</w:t>
      </w:r>
      <w:r w:rsidR="00DE381F">
        <w:rPr>
          <w:rFonts w:ascii="Arial" w:eastAsia="Arial" w:hAnsi="Arial" w:cs="Arial"/>
          <w:bCs/>
          <w:sz w:val="22"/>
          <w:szCs w:val="22"/>
        </w:rPr>
        <w:t xml:space="preserve">. Así, </w:t>
      </w:r>
      <w:r w:rsidR="00DE381F" w:rsidRPr="008C44D3">
        <w:rPr>
          <w:rFonts w:ascii="Arial" w:eastAsia="Arial" w:hAnsi="Arial" w:cs="Arial"/>
          <w:b/>
          <w:sz w:val="22"/>
          <w:szCs w:val="22"/>
        </w:rPr>
        <w:t>el</w:t>
      </w:r>
      <w:r w:rsidR="0035236D" w:rsidRPr="008C44D3">
        <w:rPr>
          <w:rFonts w:ascii="Arial" w:eastAsia="Arial" w:hAnsi="Arial" w:cs="Arial"/>
          <w:b/>
          <w:sz w:val="22"/>
          <w:szCs w:val="22"/>
        </w:rPr>
        <w:t xml:space="preserve"> 33% de las compañías encuestadas </w:t>
      </w:r>
      <w:r w:rsidR="00D73001">
        <w:rPr>
          <w:rFonts w:ascii="Arial" w:eastAsia="Arial" w:hAnsi="Arial" w:cs="Arial"/>
          <w:b/>
          <w:sz w:val="22"/>
          <w:szCs w:val="22"/>
        </w:rPr>
        <w:t xml:space="preserve">ofrece facilidades </w:t>
      </w:r>
      <w:r w:rsidR="0035236D" w:rsidRPr="008C44D3">
        <w:rPr>
          <w:rFonts w:ascii="Arial" w:eastAsia="Arial" w:hAnsi="Arial" w:cs="Arial"/>
          <w:b/>
          <w:sz w:val="22"/>
          <w:szCs w:val="22"/>
        </w:rPr>
        <w:t xml:space="preserve">en </w:t>
      </w:r>
      <w:r w:rsidR="00512ACD">
        <w:rPr>
          <w:rFonts w:ascii="Arial" w:eastAsia="Arial" w:hAnsi="Arial" w:cs="Arial"/>
          <w:b/>
          <w:sz w:val="22"/>
          <w:szCs w:val="22"/>
        </w:rPr>
        <w:t>relación</w:t>
      </w:r>
      <w:r w:rsidR="0035236D" w:rsidRPr="008C44D3">
        <w:rPr>
          <w:rFonts w:ascii="Arial" w:eastAsia="Arial" w:hAnsi="Arial" w:cs="Arial"/>
          <w:b/>
          <w:sz w:val="22"/>
          <w:szCs w:val="22"/>
        </w:rPr>
        <w:t xml:space="preserve"> al lugar desde donde trabajan sus empleados, mientras que el 32% </w:t>
      </w:r>
      <w:r w:rsidR="008C44D3" w:rsidRPr="008C44D3">
        <w:rPr>
          <w:rFonts w:ascii="Arial" w:eastAsia="Arial" w:hAnsi="Arial" w:cs="Arial"/>
          <w:b/>
          <w:sz w:val="22"/>
          <w:szCs w:val="22"/>
        </w:rPr>
        <w:t xml:space="preserve">lo hacen en los aspectos relativos a </w:t>
      </w:r>
      <w:r w:rsidR="00D73001">
        <w:rPr>
          <w:rFonts w:ascii="Arial" w:eastAsia="Arial" w:hAnsi="Arial" w:cs="Arial"/>
          <w:b/>
          <w:sz w:val="22"/>
          <w:szCs w:val="22"/>
        </w:rPr>
        <w:t>su</w:t>
      </w:r>
      <w:r w:rsidR="008C44D3" w:rsidRPr="008C44D3">
        <w:rPr>
          <w:rFonts w:ascii="Arial" w:eastAsia="Arial" w:hAnsi="Arial" w:cs="Arial"/>
          <w:b/>
          <w:sz w:val="22"/>
          <w:szCs w:val="22"/>
        </w:rPr>
        <w:t xml:space="preserve"> jornada</w:t>
      </w:r>
      <w:r w:rsidR="008C44D3">
        <w:rPr>
          <w:rFonts w:ascii="Arial" w:eastAsia="Arial" w:hAnsi="Arial" w:cs="Arial"/>
          <w:bCs/>
          <w:sz w:val="22"/>
          <w:szCs w:val="22"/>
        </w:rPr>
        <w:t>.</w:t>
      </w:r>
    </w:p>
    <w:p w14:paraId="655E7292" w14:textId="72B808F9" w:rsidR="0035236D" w:rsidRDefault="00226CF7" w:rsidP="00356679">
      <w:pPr>
        <w:spacing w:before="120" w:line="288" w:lineRule="auto"/>
        <w:jc w:val="both"/>
        <w:rPr>
          <w:rFonts w:ascii="Arial" w:eastAsia="Arial" w:hAnsi="Arial" w:cs="Arial"/>
          <w:bCs/>
          <w:sz w:val="22"/>
          <w:szCs w:val="22"/>
        </w:rPr>
      </w:pPr>
      <w:r>
        <w:rPr>
          <w:rFonts w:ascii="Arial" w:eastAsia="Arial" w:hAnsi="Arial" w:cs="Arial"/>
          <w:bCs/>
          <w:sz w:val="22"/>
          <w:szCs w:val="22"/>
        </w:rPr>
        <w:t>E</w:t>
      </w:r>
      <w:r w:rsidR="00BF2A9C">
        <w:rPr>
          <w:rFonts w:ascii="Arial" w:eastAsia="Arial" w:hAnsi="Arial" w:cs="Arial"/>
          <w:bCs/>
          <w:sz w:val="22"/>
          <w:szCs w:val="22"/>
        </w:rPr>
        <w:t xml:space="preserve">ntre las prioridades estratégicas para 2024 en materia de recursos humanos, destacan </w:t>
      </w:r>
      <w:r w:rsidR="0002514B">
        <w:rPr>
          <w:rFonts w:ascii="Arial" w:eastAsia="Arial" w:hAnsi="Arial" w:cs="Arial"/>
          <w:bCs/>
          <w:sz w:val="22"/>
          <w:szCs w:val="22"/>
        </w:rPr>
        <w:t xml:space="preserve">la </w:t>
      </w:r>
      <w:r w:rsidR="00924550" w:rsidRPr="00924550">
        <w:rPr>
          <w:rFonts w:ascii="Arial" w:eastAsia="Arial" w:hAnsi="Arial" w:cs="Arial"/>
          <w:b/>
          <w:sz w:val="22"/>
          <w:szCs w:val="22"/>
        </w:rPr>
        <w:t xml:space="preserve">selección y contratación de </w:t>
      </w:r>
      <w:r w:rsidR="0002514B" w:rsidRPr="00924550">
        <w:rPr>
          <w:rFonts w:ascii="Arial" w:eastAsia="Arial" w:hAnsi="Arial" w:cs="Arial"/>
          <w:b/>
          <w:sz w:val="22"/>
          <w:szCs w:val="22"/>
        </w:rPr>
        <w:t>personal cualificado</w:t>
      </w:r>
      <w:r w:rsidR="0002514B">
        <w:rPr>
          <w:rFonts w:ascii="Arial" w:eastAsia="Arial" w:hAnsi="Arial" w:cs="Arial"/>
          <w:bCs/>
          <w:sz w:val="22"/>
          <w:szCs w:val="22"/>
        </w:rPr>
        <w:t xml:space="preserve"> (74%)</w:t>
      </w:r>
      <w:r w:rsidR="00924550">
        <w:rPr>
          <w:rFonts w:ascii="Arial" w:eastAsia="Arial" w:hAnsi="Arial" w:cs="Arial"/>
          <w:bCs/>
          <w:sz w:val="22"/>
          <w:szCs w:val="22"/>
        </w:rPr>
        <w:t xml:space="preserve"> y</w:t>
      </w:r>
      <w:r w:rsidR="0002514B">
        <w:rPr>
          <w:rFonts w:ascii="Arial" w:eastAsia="Arial" w:hAnsi="Arial" w:cs="Arial"/>
          <w:bCs/>
          <w:sz w:val="22"/>
          <w:szCs w:val="22"/>
        </w:rPr>
        <w:t xml:space="preserve"> </w:t>
      </w:r>
      <w:r w:rsidR="00924550" w:rsidRPr="00924550">
        <w:rPr>
          <w:rFonts w:ascii="Arial" w:eastAsia="Arial" w:hAnsi="Arial" w:cs="Arial"/>
          <w:b/>
          <w:sz w:val="22"/>
          <w:szCs w:val="22"/>
        </w:rPr>
        <w:t>el bienestar del empleado</w:t>
      </w:r>
      <w:r w:rsidR="00924550">
        <w:rPr>
          <w:rFonts w:ascii="Arial" w:eastAsia="Arial" w:hAnsi="Arial" w:cs="Arial"/>
          <w:b/>
          <w:sz w:val="22"/>
          <w:szCs w:val="22"/>
        </w:rPr>
        <w:t xml:space="preserve"> </w:t>
      </w:r>
      <w:r w:rsidR="00924550">
        <w:rPr>
          <w:rFonts w:ascii="Arial" w:eastAsia="Arial" w:hAnsi="Arial" w:cs="Arial"/>
          <w:bCs/>
          <w:sz w:val="22"/>
          <w:szCs w:val="22"/>
        </w:rPr>
        <w:t>(74%), lo que refleja una gran preocupación por la atracción y fidelización del talento</w:t>
      </w:r>
      <w:r w:rsidR="0002514B">
        <w:rPr>
          <w:rFonts w:ascii="Arial" w:eastAsia="Arial" w:hAnsi="Arial" w:cs="Arial"/>
          <w:bCs/>
          <w:sz w:val="22"/>
          <w:szCs w:val="22"/>
        </w:rPr>
        <w:t>.</w:t>
      </w:r>
    </w:p>
    <w:p w14:paraId="79B7BFAE" w14:textId="186F2B96" w:rsidR="00B60986" w:rsidRDefault="00B60986" w:rsidP="00356679">
      <w:pPr>
        <w:spacing w:before="120" w:line="288" w:lineRule="auto"/>
        <w:jc w:val="both"/>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66EBCC02">
            <wp:extent cx="5764530" cy="2174781"/>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4235" cy="2185988"/>
                    </a:xfrm>
                    <a:prstGeom prst="rect">
                      <a:avLst/>
                    </a:prstGeom>
                    <a:noFill/>
                  </pic:spPr>
                </pic:pic>
              </a:graphicData>
            </a:graphic>
          </wp:inline>
        </w:drawing>
      </w:r>
    </w:p>
    <w:p w14:paraId="52E24964" w14:textId="7E2E18CC" w:rsidR="00B60986" w:rsidRPr="00356679" w:rsidRDefault="00B60986" w:rsidP="00B60986">
      <w:pPr>
        <w:spacing w:before="120" w:line="288" w:lineRule="auto"/>
        <w:jc w:val="right"/>
        <w:rPr>
          <w:rFonts w:ascii="Arial" w:eastAsia="Arial" w:hAnsi="Arial" w:cs="Arial"/>
          <w:b/>
          <w:sz w:val="18"/>
          <w:szCs w:val="18"/>
        </w:rPr>
      </w:pPr>
      <w:r>
        <w:rPr>
          <w:rFonts w:ascii="Arial" w:eastAsia="Arial" w:hAnsi="Arial" w:cs="Arial"/>
          <w:bCs/>
          <w:i/>
          <w:iCs/>
          <w:sz w:val="18"/>
          <w:szCs w:val="18"/>
        </w:rPr>
        <w:t>Estrategias de las empresas españolas para afrontar el desajuste de talento</w:t>
      </w:r>
    </w:p>
    <w:p w14:paraId="1DD72ACB" w14:textId="77777777" w:rsidR="00601B68" w:rsidRDefault="00601B68" w:rsidP="00356679">
      <w:pPr>
        <w:spacing w:before="120" w:line="288" w:lineRule="auto"/>
        <w:jc w:val="both"/>
        <w:rPr>
          <w:rFonts w:ascii="Arial" w:eastAsia="Arial" w:hAnsi="Arial" w:cs="Arial"/>
          <w:bCs/>
          <w:sz w:val="22"/>
          <w:szCs w:val="22"/>
        </w:rPr>
      </w:pPr>
    </w:p>
    <w:p w14:paraId="12F7E592" w14:textId="24564D10" w:rsidR="0038103A" w:rsidRDefault="0038103A" w:rsidP="00356679">
      <w:pPr>
        <w:spacing w:before="120" w:line="288" w:lineRule="auto"/>
        <w:jc w:val="both"/>
        <w:rPr>
          <w:rFonts w:ascii="Arial" w:eastAsia="Arial" w:hAnsi="Arial" w:cs="Arial"/>
          <w:bCs/>
          <w:i/>
          <w:iCs/>
          <w:sz w:val="22"/>
          <w:szCs w:val="22"/>
        </w:rPr>
      </w:pPr>
      <w:r>
        <w:rPr>
          <w:rFonts w:ascii="Arial" w:eastAsia="Arial" w:hAnsi="Arial" w:cs="Arial"/>
          <w:bCs/>
          <w:sz w:val="22"/>
          <w:szCs w:val="22"/>
        </w:rPr>
        <w:t>Sobre esta cuestión</w:t>
      </w:r>
      <w:r w:rsidRPr="0038103A">
        <w:rPr>
          <w:rFonts w:ascii="Arial" w:eastAsia="Arial" w:hAnsi="Arial" w:cs="Arial"/>
          <w:bCs/>
          <w:sz w:val="22"/>
          <w:szCs w:val="22"/>
        </w:rPr>
        <w:t xml:space="preserve"> Ribeir</w:t>
      </w:r>
      <w:r>
        <w:rPr>
          <w:rFonts w:ascii="Arial" w:eastAsia="Arial" w:hAnsi="Arial" w:cs="Arial"/>
          <w:bCs/>
          <w:sz w:val="22"/>
          <w:szCs w:val="22"/>
        </w:rPr>
        <w:t xml:space="preserve">o comenta que </w:t>
      </w:r>
      <w:r w:rsidRPr="00123015">
        <w:rPr>
          <w:rFonts w:ascii="Arial" w:eastAsia="Arial" w:hAnsi="Arial" w:cs="Arial"/>
          <w:bCs/>
          <w:i/>
          <w:iCs/>
          <w:sz w:val="22"/>
          <w:szCs w:val="22"/>
        </w:rPr>
        <w:t>“</w:t>
      </w:r>
      <w:r>
        <w:rPr>
          <w:rFonts w:ascii="Arial" w:eastAsia="Arial" w:hAnsi="Arial" w:cs="Arial"/>
          <w:bCs/>
          <w:i/>
          <w:iCs/>
          <w:sz w:val="22"/>
          <w:szCs w:val="22"/>
        </w:rPr>
        <w:t>e</w:t>
      </w:r>
      <w:r w:rsidRPr="00123015">
        <w:rPr>
          <w:rFonts w:ascii="Arial" w:eastAsia="Arial" w:hAnsi="Arial" w:cs="Arial"/>
          <w:bCs/>
          <w:i/>
          <w:iCs/>
          <w:sz w:val="22"/>
          <w:szCs w:val="22"/>
        </w:rPr>
        <w:t>l informe señala</w:t>
      </w:r>
      <w:r>
        <w:rPr>
          <w:rFonts w:ascii="Arial" w:eastAsia="Arial" w:hAnsi="Arial" w:cs="Arial"/>
          <w:bCs/>
          <w:i/>
          <w:iCs/>
          <w:sz w:val="22"/>
          <w:szCs w:val="22"/>
        </w:rPr>
        <w:t xml:space="preserve"> </w:t>
      </w:r>
      <w:r w:rsidR="009F301A">
        <w:rPr>
          <w:rFonts w:ascii="Arial" w:eastAsia="Arial" w:hAnsi="Arial" w:cs="Arial"/>
          <w:bCs/>
          <w:i/>
          <w:iCs/>
          <w:sz w:val="22"/>
          <w:szCs w:val="22"/>
        </w:rPr>
        <w:t xml:space="preserve">como </w:t>
      </w:r>
      <w:r w:rsidRPr="00123015">
        <w:rPr>
          <w:rFonts w:ascii="Arial" w:eastAsia="Arial" w:hAnsi="Arial" w:cs="Arial"/>
          <w:bCs/>
          <w:i/>
          <w:iCs/>
          <w:sz w:val="22"/>
          <w:szCs w:val="22"/>
        </w:rPr>
        <w:t xml:space="preserve">estrategia común entre las empresas la adopción de medidas </w:t>
      </w:r>
      <w:r>
        <w:rPr>
          <w:rFonts w:ascii="Arial" w:eastAsia="Arial" w:hAnsi="Arial" w:cs="Arial"/>
          <w:bCs/>
          <w:i/>
          <w:iCs/>
          <w:sz w:val="22"/>
          <w:szCs w:val="22"/>
        </w:rPr>
        <w:t xml:space="preserve">de flexibilidad </w:t>
      </w:r>
      <w:r w:rsidRPr="00123015">
        <w:rPr>
          <w:rFonts w:ascii="Arial" w:eastAsia="Arial" w:hAnsi="Arial" w:cs="Arial"/>
          <w:bCs/>
          <w:i/>
          <w:iCs/>
          <w:sz w:val="22"/>
          <w:szCs w:val="22"/>
        </w:rPr>
        <w:t>como respuesta a esta escasez de talento</w:t>
      </w:r>
      <w:r>
        <w:rPr>
          <w:rFonts w:ascii="Arial" w:eastAsia="Arial" w:hAnsi="Arial" w:cs="Arial"/>
          <w:bCs/>
          <w:i/>
          <w:iCs/>
          <w:sz w:val="22"/>
          <w:szCs w:val="22"/>
        </w:rPr>
        <w:t xml:space="preserve">. Sin embargo, hay que activar también otros resortes, especialmente los relacionados con la formación, para poder contar con las </w:t>
      </w:r>
      <w:proofErr w:type="spellStart"/>
      <w:r>
        <w:rPr>
          <w:rFonts w:ascii="Arial" w:eastAsia="Arial" w:hAnsi="Arial" w:cs="Arial"/>
          <w:bCs/>
          <w:i/>
          <w:iCs/>
          <w:sz w:val="22"/>
          <w:szCs w:val="22"/>
        </w:rPr>
        <w:t>skills</w:t>
      </w:r>
      <w:proofErr w:type="spellEnd"/>
      <w:r>
        <w:rPr>
          <w:rFonts w:ascii="Arial" w:eastAsia="Arial" w:hAnsi="Arial" w:cs="Arial"/>
          <w:bCs/>
          <w:i/>
          <w:iCs/>
          <w:sz w:val="22"/>
          <w:szCs w:val="22"/>
        </w:rPr>
        <w:t xml:space="preserve"> necesarias</w:t>
      </w:r>
      <w:r w:rsidRPr="00123015">
        <w:rPr>
          <w:rFonts w:ascii="Arial" w:eastAsia="Arial" w:hAnsi="Arial" w:cs="Arial"/>
          <w:bCs/>
          <w:i/>
          <w:iCs/>
          <w:sz w:val="22"/>
          <w:szCs w:val="22"/>
        </w:rPr>
        <w:t xml:space="preserve">. </w:t>
      </w:r>
      <w:r>
        <w:rPr>
          <w:rFonts w:ascii="Arial" w:eastAsia="Arial" w:hAnsi="Arial" w:cs="Arial"/>
          <w:bCs/>
          <w:i/>
          <w:iCs/>
          <w:sz w:val="22"/>
          <w:szCs w:val="22"/>
        </w:rPr>
        <w:t xml:space="preserve">Y esto depende de las empresas, pero también de los profesionales y de los distintos recursos formativos </w:t>
      </w:r>
      <w:r w:rsidR="0098143A">
        <w:rPr>
          <w:rFonts w:ascii="Arial" w:eastAsia="Arial" w:hAnsi="Arial" w:cs="Arial"/>
          <w:bCs/>
          <w:i/>
          <w:iCs/>
          <w:sz w:val="22"/>
          <w:szCs w:val="22"/>
        </w:rPr>
        <w:t>-</w:t>
      </w:r>
      <w:r>
        <w:rPr>
          <w:rFonts w:ascii="Arial" w:eastAsia="Arial" w:hAnsi="Arial" w:cs="Arial"/>
          <w:bCs/>
          <w:i/>
          <w:iCs/>
          <w:sz w:val="22"/>
          <w:szCs w:val="22"/>
        </w:rPr>
        <w:t>públicos y privados</w:t>
      </w:r>
      <w:r w:rsidR="0098143A">
        <w:rPr>
          <w:rFonts w:ascii="Arial" w:eastAsia="Arial" w:hAnsi="Arial" w:cs="Arial"/>
          <w:bCs/>
          <w:i/>
          <w:iCs/>
          <w:sz w:val="22"/>
          <w:szCs w:val="22"/>
        </w:rPr>
        <w:t>-</w:t>
      </w:r>
      <w:r>
        <w:rPr>
          <w:rFonts w:ascii="Arial" w:eastAsia="Arial" w:hAnsi="Arial" w:cs="Arial"/>
          <w:bCs/>
          <w:i/>
          <w:iCs/>
          <w:sz w:val="22"/>
          <w:szCs w:val="22"/>
        </w:rPr>
        <w:t xml:space="preserve">”. </w:t>
      </w:r>
      <w:r>
        <w:rPr>
          <w:rFonts w:ascii="Arial" w:eastAsia="Arial" w:hAnsi="Arial" w:cs="Arial"/>
          <w:bCs/>
          <w:sz w:val="22"/>
          <w:szCs w:val="22"/>
        </w:rPr>
        <w:t>El directivo</w:t>
      </w:r>
      <w:r w:rsidRPr="0038103A">
        <w:rPr>
          <w:rFonts w:ascii="Arial" w:eastAsia="Arial" w:hAnsi="Arial" w:cs="Arial"/>
          <w:bCs/>
          <w:sz w:val="22"/>
          <w:szCs w:val="22"/>
        </w:rPr>
        <w:t xml:space="preserve"> concluye:</w:t>
      </w:r>
      <w:r>
        <w:rPr>
          <w:rFonts w:ascii="Arial" w:eastAsia="Arial" w:hAnsi="Arial" w:cs="Arial"/>
          <w:bCs/>
          <w:i/>
          <w:iCs/>
          <w:sz w:val="22"/>
          <w:szCs w:val="22"/>
        </w:rPr>
        <w:t xml:space="preserve"> “</w:t>
      </w:r>
      <w:r w:rsidRPr="00123015">
        <w:rPr>
          <w:rFonts w:ascii="Arial" w:eastAsia="Arial" w:hAnsi="Arial" w:cs="Arial"/>
          <w:bCs/>
          <w:i/>
          <w:iCs/>
          <w:sz w:val="22"/>
          <w:szCs w:val="22"/>
        </w:rPr>
        <w:t xml:space="preserve">La adaptación y formación continua son </w:t>
      </w:r>
      <w:r>
        <w:rPr>
          <w:rFonts w:ascii="Arial" w:eastAsia="Arial" w:hAnsi="Arial" w:cs="Arial"/>
          <w:bCs/>
          <w:i/>
          <w:iCs/>
          <w:sz w:val="22"/>
          <w:szCs w:val="22"/>
        </w:rPr>
        <w:t xml:space="preserve">fundamentales </w:t>
      </w:r>
      <w:r w:rsidRPr="00123015">
        <w:rPr>
          <w:rFonts w:ascii="Arial" w:eastAsia="Arial" w:hAnsi="Arial" w:cs="Arial"/>
          <w:bCs/>
          <w:i/>
          <w:iCs/>
          <w:sz w:val="22"/>
          <w:szCs w:val="22"/>
        </w:rPr>
        <w:t xml:space="preserve">para </w:t>
      </w:r>
      <w:r>
        <w:rPr>
          <w:rFonts w:ascii="Arial" w:eastAsia="Arial" w:hAnsi="Arial" w:cs="Arial"/>
          <w:bCs/>
          <w:i/>
          <w:iCs/>
          <w:sz w:val="22"/>
          <w:szCs w:val="22"/>
        </w:rPr>
        <w:t xml:space="preserve">cerrar </w:t>
      </w:r>
      <w:r w:rsidRPr="00123015">
        <w:rPr>
          <w:rFonts w:ascii="Arial" w:eastAsia="Arial" w:hAnsi="Arial" w:cs="Arial"/>
          <w:bCs/>
          <w:i/>
          <w:iCs/>
          <w:sz w:val="22"/>
          <w:szCs w:val="22"/>
        </w:rPr>
        <w:t xml:space="preserve">las brechas </w:t>
      </w:r>
      <w:r>
        <w:rPr>
          <w:rFonts w:ascii="Arial" w:eastAsia="Arial" w:hAnsi="Arial" w:cs="Arial"/>
          <w:bCs/>
          <w:i/>
          <w:iCs/>
          <w:sz w:val="22"/>
          <w:szCs w:val="22"/>
        </w:rPr>
        <w:t xml:space="preserve">de </w:t>
      </w:r>
      <w:r w:rsidRPr="00123015">
        <w:rPr>
          <w:rFonts w:ascii="Arial" w:eastAsia="Arial" w:hAnsi="Arial" w:cs="Arial"/>
          <w:bCs/>
          <w:i/>
          <w:iCs/>
          <w:sz w:val="22"/>
          <w:szCs w:val="22"/>
        </w:rPr>
        <w:t xml:space="preserve">habilidades; mientras que </w:t>
      </w:r>
      <w:r>
        <w:rPr>
          <w:rFonts w:ascii="Arial" w:eastAsia="Arial" w:hAnsi="Arial" w:cs="Arial"/>
          <w:bCs/>
          <w:i/>
          <w:iCs/>
          <w:sz w:val="22"/>
          <w:szCs w:val="22"/>
        </w:rPr>
        <w:t xml:space="preserve">la </w:t>
      </w:r>
      <w:r w:rsidRPr="00123015">
        <w:rPr>
          <w:rFonts w:ascii="Arial" w:eastAsia="Arial" w:hAnsi="Arial" w:cs="Arial"/>
          <w:bCs/>
          <w:i/>
          <w:iCs/>
          <w:sz w:val="22"/>
          <w:szCs w:val="22"/>
        </w:rPr>
        <w:t xml:space="preserve">flexibilidad y </w:t>
      </w:r>
      <w:r>
        <w:rPr>
          <w:rFonts w:ascii="Arial" w:eastAsia="Arial" w:hAnsi="Arial" w:cs="Arial"/>
          <w:bCs/>
          <w:i/>
          <w:iCs/>
          <w:sz w:val="22"/>
          <w:szCs w:val="22"/>
        </w:rPr>
        <w:t xml:space="preserve">una </w:t>
      </w:r>
      <w:r w:rsidRPr="00123015">
        <w:rPr>
          <w:rFonts w:ascii="Arial" w:eastAsia="Arial" w:hAnsi="Arial" w:cs="Arial"/>
          <w:bCs/>
          <w:i/>
          <w:iCs/>
          <w:sz w:val="22"/>
          <w:szCs w:val="22"/>
        </w:rPr>
        <w:t>continua evolución en las estrategias de gestión de</w:t>
      </w:r>
      <w:r>
        <w:rPr>
          <w:rFonts w:ascii="Arial" w:eastAsia="Arial" w:hAnsi="Arial" w:cs="Arial"/>
          <w:bCs/>
          <w:i/>
          <w:iCs/>
          <w:sz w:val="22"/>
          <w:szCs w:val="22"/>
        </w:rPr>
        <w:t>l talento</w:t>
      </w:r>
      <w:r w:rsidRPr="00123015">
        <w:rPr>
          <w:rFonts w:ascii="Arial" w:eastAsia="Arial" w:hAnsi="Arial" w:cs="Arial"/>
          <w:bCs/>
          <w:i/>
          <w:iCs/>
          <w:sz w:val="22"/>
          <w:szCs w:val="22"/>
        </w:rPr>
        <w:t xml:space="preserve"> </w:t>
      </w:r>
      <w:r>
        <w:rPr>
          <w:rFonts w:ascii="Arial" w:eastAsia="Arial" w:hAnsi="Arial" w:cs="Arial"/>
          <w:bCs/>
          <w:i/>
          <w:iCs/>
          <w:sz w:val="22"/>
          <w:szCs w:val="22"/>
        </w:rPr>
        <w:t>permiten</w:t>
      </w:r>
      <w:r w:rsidRPr="00123015">
        <w:rPr>
          <w:rFonts w:ascii="Arial" w:eastAsia="Arial" w:hAnsi="Arial" w:cs="Arial"/>
          <w:bCs/>
          <w:i/>
          <w:iCs/>
          <w:sz w:val="22"/>
          <w:szCs w:val="22"/>
        </w:rPr>
        <w:t xml:space="preserve"> navegar con éxito </w:t>
      </w:r>
      <w:r>
        <w:rPr>
          <w:rFonts w:ascii="Arial" w:eastAsia="Arial" w:hAnsi="Arial" w:cs="Arial"/>
          <w:bCs/>
          <w:i/>
          <w:iCs/>
          <w:sz w:val="22"/>
          <w:szCs w:val="22"/>
        </w:rPr>
        <w:t xml:space="preserve">en un </w:t>
      </w:r>
      <w:r w:rsidRPr="00123015">
        <w:rPr>
          <w:rFonts w:ascii="Arial" w:eastAsia="Arial" w:hAnsi="Arial" w:cs="Arial"/>
          <w:bCs/>
          <w:i/>
          <w:iCs/>
          <w:sz w:val="22"/>
          <w:szCs w:val="22"/>
        </w:rPr>
        <w:t>mercado dinámico y altamente competitivo</w:t>
      </w:r>
      <w:r>
        <w:rPr>
          <w:rFonts w:ascii="Arial" w:eastAsia="Arial" w:hAnsi="Arial" w:cs="Arial"/>
          <w:bCs/>
          <w:i/>
          <w:iCs/>
          <w:sz w:val="22"/>
          <w:szCs w:val="22"/>
        </w:rPr>
        <w:t>”.</w:t>
      </w:r>
    </w:p>
    <w:p w14:paraId="39C9F245" w14:textId="49746FF5" w:rsidR="00356679" w:rsidRPr="00356679" w:rsidRDefault="00924550" w:rsidP="00356679">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La inteligencia artificial también </w:t>
      </w:r>
      <w:r w:rsidR="00356679">
        <w:rPr>
          <w:rFonts w:ascii="Arial" w:eastAsia="Arial" w:hAnsi="Arial" w:cs="Arial"/>
          <w:bCs/>
          <w:sz w:val="22"/>
          <w:szCs w:val="22"/>
        </w:rPr>
        <w:t xml:space="preserve">despierta el interés de las compañías, aunque su implementación genera retos. Los principales desafíos que las empresas españolas identifican </w:t>
      </w:r>
      <w:r w:rsidR="00B60986">
        <w:rPr>
          <w:rFonts w:ascii="Arial" w:eastAsia="Arial" w:hAnsi="Arial" w:cs="Arial"/>
          <w:bCs/>
          <w:sz w:val="22"/>
          <w:szCs w:val="22"/>
        </w:rPr>
        <w:t>con relación al</w:t>
      </w:r>
      <w:r w:rsidR="00356679">
        <w:rPr>
          <w:rFonts w:ascii="Arial" w:eastAsia="Arial" w:hAnsi="Arial" w:cs="Arial"/>
          <w:bCs/>
          <w:sz w:val="22"/>
          <w:szCs w:val="22"/>
        </w:rPr>
        <w:t xml:space="preserve"> despliegue de la IA son: </w:t>
      </w:r>
      <w:r w:rsidR="00356679" w:rsidRPr="00356679">
        <w:rPr>
          <w:rFonts w:ascii="Arial" w:eastAsia="Arial" w:hAnsi="Arial" w:cs="Arial"/>
          <w:b/>
          <w:sz w:val="22"/>
          <w:szCs w:val="22"/>
        </w:rPr>
        <w:t xml:space="preserve">formar a sus </w:t>
      </w:r>
      <w:r w:rsidR="00D73001">
        <w:rPr>
          <w:rFonts w:ascii="Arial" w:eastAsia="Arial" w:hAnsi="Arial" w:cs="Arial"/>
          <w:b/>
          <w:sz w:val="22"/>
          <w:szCs w:val="22"/>
        </w:rPr>
        <w:t xml:space="preserve">trabajadores </w:t>
      </w:r>
      <w:r w:rsidR="00356679" w:rsidRPr="00356679">
        <w:rPr>
          <w:rFonts w:ascii="Arial" w:eastAsia="Arial" w:hAnsi="Arial" w:cs="Arial"/>
          <w:b/>
          <w:sz w:val="22"/>
          <w:szCs w:val="22"/>
        </w:rPr>
        <w:t>para aprovecharla en sus roles</w:t>
      </w:r>
      <w:r w:rsidR="00356679">
        <w:rPr>
          <w:rFonts w:ascii="Arial" w:eastAsia="Arial" w:hAnsi="Arial" w:cs="Arial"/>
          <w:bCs/>
          <w:sz w:val="22"/>
          <w:szCs w:val="22"/>
        </w:rPr>
        <w:t xml:space="preserve"> </w:t>
      </w:r>
      <w:r w:rsidR="00356679" w:rsidRPr="00356679">
        <w:rPr>
          <w:rFonts w:ascii="Arial" w:eastAsia="Arial" w:hAnsi="Arial" w:cs="Arial"/>
          <w:bCs/>
          <w:sz w:val="22"/>
          <w:szCs w:val="22"/>
        </w:rPr>
        <w:t>(26%)</w:t>
      </w:r>
      <w:r w:rsidR="00356679">
        <w:rPr>
          <w:rFonts w:ascii="Arial" w:eastAsia="Arial" w:hAnsi="Arial" w:cs="Arial"/>
          <w:bCs/>
          <w:sz w:val="22"/>
          <w:szCs w:val="22"/>
        </w:rPr>
        <w:t xml:space="preserve">; </w:t>
      </w:r>
      <w:r w:rsidR="00356679" w:rsidRPr="00356679">
        <w:rPr>
          <w:rFonts w:ascii="Arial" w:eastAsia="Arial" w:hAnsi="Arial" w:cs="Arial"/>
          <w:b/>
          <w:sz w:val="22"/>
          <w:szCs w:val="22"/>
        </w:rPr>
        <w:t>encontrar perfiles cualificados</w:t>
      </w:r>
      <w:r w:rsidR="00356679">
        <w:rPr>
          <w:rFonts w:ascii="Arial" w:eastAsia="Arial" w:hAnsi="Arial" w:cs="Arial"/>
          <w:bCs/>
          <w:sz w:val="22"/>
          <w:szCs w:val="22"/>
        </w:rPr>
        <w:t xml:space="preserve"> </w:t>
      </w:r>
      <w:r w:rsidR="00356679" w:rsidRPr="00356679">
        <w:rPr>
          <w:rFonts w:ascii="Arial" w:eastAsia="Arial" w:hAnsi="Arial" w:cs="Arial"/>
          <w:bCs/>
          <w:sz w:val="22"/>
          <w:szCs w:val="22"/>
        </w:rPr>
        <w:t>(23%)</w:t>
      </w:r>
      <w:r w:rsidR="00356679">
        <w:rPr>
          <w:rFonts w:ascii="Arial" w:eastAsia="Arial" w:hAnsi="Arial" w:cs="Arial"/>
          <w:bCs/>
          <w:sz w:val="22"/>
          <w:szCs w:val="22"/>
        </w:rPr>
        <w:t xml:space="preserve">; y </w:t>
      </w:r>
      <w:r w:rsidR="00356679" w:rsidRPr="00356679">
        <w:rPr>
          <w:rFonts w:ascii="Arial" w:eastAsia="Arial" w:hAnsi="Arial" w:cs="Arial"/>
          <w:b/>
          <w:sz w:val="22"/>
          <w:szCs w:val="22"/>
        </w:rPr>
        <w:t>definir qué puestos se pueden beneficiar de implement</w:t>
      </w:r>
      <w:r w:rsidR="00356679">
        <w:rPr>
          <w:rFonts w:ascii="Arial" w:eastAsia="Arial" w:hAnsi="Arial" w:cs="Arial"/>
          <w:b/>
          <w:sz w:val="22"/>
          <w:szCs w:val="22"/>
        </w:rPr>
        <w:t xml:space="preserve">arla </w:t>
      </w:r>
      <w:r w:rsidR="00356679" w:rsidRPr="00356679">
        <w:rPr>
          <w:rFonts w:ascii="Arial" w:eastAsia="Arial" w:hAnsi="Arial" w:cs="Arial"/>
          <w:bCs/>
          <w:sz w:val="22"/>
          <w:szCs w:val="22"/>
        </w:rPr>
        <w:t>(22%)</w:t>
      </w:r>
      <w:r w:rsidR="00356679">
        <w:rPr>
          <w:rFonts w:ascii="Arial" w:eastAsia="Arial" w:hAnsi="Arial" w:cs="Arial"/>
          <w:bCs/>
          <w:sz w:val="22"/>
          <w:szCs w:val="22"/>
        </w:rPr>
        <w:t>.</w:t>
      </w:r>
    </w:p>
    <w:p w14:paraId="5F753437" w14:textId="77777777" w:rsidR="006B2084" w:rsidRDefault="006B2084" w:rsidP="00356679">
      <w:pPr>
        <w:spacing w:before="120" w:line="288" w:lineRule="auto"/>
        <w:jc w:val="both"/>
        <w:rPr>
          <w:rFonts w:ascii="Arial" w:eastAsia="Arial" w:hAnsi="Arial" w:cs="Arial"/>
          <w:b/>
          <w:sz w:val="22"/>
          <w:szCs w:val="22"/>
        </w:rPr>
      </w:pPr>
    </w:p>
    <w:p w14:paraId="20ADE3F0" w14:textId="77777777" w:rsidR="00FB69D7" w:rsidRPr="00142E26" w:rsidRDefault="00FB69D7" w:rsidP="00FB69D7">
      <w:pPr>
        <w:spacing w:before="120" w:line="288" w:lineRule="auto"/>
        <w:jc w:val="both"/>
        <w:rPr>
          <w:rFonts w:ascii="Arial" w:eastAsia="Arial" w:hAnsi="Arial" w:cs="Arial"/>
          <w:b/>
          <w:sz w:val="22"/>
          <w:szCs w:val="22"/>
        </w:rPr>
      </w:pPr>
      <w:r w:rsidRPr="00142E26">
        <w:rPr>
          <w:rFonts w:ascii="Arial" w:eastAsia="Arial" w:hAnsi="Arial" w:cs="Arial"/>
          <w:b/>
          <w:sz w:val="22"/>
          <w:szCs w:val="22"/>
        </w:rPr>
        <w:t xml:space="preserve">El </w:t>
      </w:r>
      <w:r>
        <w:rPr>
          <w:rFonts w:ascii="Arial" w:eastAsia="Arial" w:hAnsi="Arial" w:cs="Arial"/>
          <w:b/>
          <w:sz w:val="22"/>
          <w:szCs w:val="22"/>
        </w:rPr>
        <w:t>sector logístico registra el mayor porcentaje de desajuste de talento</w:t>
      </w:r>
    </w:p>
    <w:p w14:paraId="4A0E3E5C" w14:textId="6343452A" w:rsidR="00FB69D7" w:rsidRPr="00655163" w:rsidRDefault="001B2737" w:rsidP="00FB69D7">
      <w:pPr>
        <w:spacing w:before="120" w:line="288" w:lineRule="auto"/>
        <w:jc w:val="both"/>
        <w:rPr>
          <w:rFonts w:ascii="Arial" w:eastAsia="Arial" w:hAnsi="Arial" w:cs="Arial"/>
          <w:bCs/>
          <w:sz w:val="22"/>
          <w:szCs w:val="22"/>
        </w:rPr>
      </w:pPr>
      <w:bookmarkStart w:id="6" w:name="_Hlk158136115"/>
      <w:r>
        <w:rPr>
          <w:rFonts w:ascii="Arial" w:eastAsia="Arial" w:hAnsi="Arial" w:cs="Arial"/>
          <w:bCs/>
          <w:sz w:val="22"/>
          <w:szCs w:val="22"/>
        </w:rPr>
        <w:t>Dentro de los distintos sectores de actividad de la economía española</w:t>
      </w:r>
      <w:r w:rsidR="00FB69D7">
        <w:rPr>
          <w:rFonts w:ascii="Arial" w:eastAsia="Arial" w:hAnsi="Arial" w:cs="Arial"/>
          <w:bCs/>
          <w:sz w:val="22"/>
          <w:szCs w:val="22"/>
        </w:rPr>
        <w:t xml:space="preserve">, </w:t>
      </w:r>
      <w:r w:rsidR="00FB69D7" w:rsidRPr="00890443">
        <w:rPr>
          <w:rFonts w:ascii="Arial" w:eastAsia="Arial" w:hAnsi="Arial" w:cs="Arial"/>
          <w:b/>
          <w:sz w:val="22"/>
          <w:szCs w:val="22"/>
        </w:rPr>
        <w:t>Transporte, logística y automoción</w:t>
      </w:r>
      <w:r w:rsidR="00FB69D7">
        <w:rPr>
          <w:rFonts w:ascii="Arial" w:eastAsia="Arial" w:hAnsi="Arial" w:cs="Arial"/>
          <w:bCs/>
          <w:sz w:val="22"/>
          <w:szCs w:val="22"/>
        </w:rPr>
        <w:t xml:space="preserve"> </w:t>
      </w:r>
      <w:r>
        <w:rPr>
          <w:rFonts w:ascii="Arial" w:eastAsia="Arial" w:hAnsi="Arial" w:cs="Arial"/>
          <w:bCs/>
          <w:sz w:val="22"/>
          <w:szCs w:val="22"/>
        </w:rPr>
        <w:t xml:space="preserve">es </w:t>
      </w:r>
      <w:r w:rsidR="00FB69D7">
        <w:rPr>
          <w:rFonts w:ascii="Arial" w:eastAsia="Arial" w:hAnsi="Arial" w:cs="Arial"/>
          <w:bCs/>
          <w:sz w:val="22"/>
          <w:szCs w:val="22"/>
        </w:rPr>
        <w:t xml:space="preserve">el que registra </w:t>
      </w:r>
      <w:r>
        <w:rPr>
          <w:rFonts w:ascii="Arial" w:eastAsia="Arial" w:hAnsi="Arial" w:cs="Arial"/>
          <w:bCs/>
          <w:sz w:val="22"/>
          <w:szCs w:val="22"/>
        </w:rPr>
        <w:t xml:space="preserve">el </w:t>
      </w:r>
      <w:r w:rsidR="00FB69D7">
        <w:rPr>
          <w:rFonts w:ascii="Arial" w:eastAsia="Arial" w:hAnsi="Arial" w:cs="Arial"/>
          <w:bCs/>
          <w:sz w:val="22"/>
          <w:szCs w:val="22"/>
        </w:rPr>
        <w:t xml:space="preserve">mayor desajuste de talento, con un 86%. Le siguen </w:t>
      </w:r>
      <w:r w:rsidR="00FB69D7" w:rsidRPr="00890443">
        <w:rPr>
          <w:rFonts w:ascii="Arial" w:eastAsia="Arial" w:hAnsi="Arial" w:cs="Arial"/>
          <w:b/>
          <w:sz w:val="22"/>
          <w:szCs w:val="22"/>
        </w:rPr>
        <w:t xml:space="preserve">Industria </w:t>
      </w:r>
      <w:r w:rsidR="00FB69D7" w:rsidRPr="00655163">
        <w:rPr>
          <w:rFonts w:ascii="Arial" w:eastAsia="Arial" w:hAnsi="Arial" w:cs="Arial"/>
          <w:bCs/>
          <w:sz w:val="22"/>
          <w:szCs w:val="22"/>
        </w:rPr>
        <w:t>(84%)</w:t>
      </w:r>
      <w:r w:rsidR="00FB69D7">
        <w:rPr>
          <w:rFonts w:ascii="Arial" w:eastAsia="Arial" w:hAnsi="Arial" w:cs="Arial"/>
          <w:bCs/>
          <w:sz w:val="22"/>
          <w:szCs w:val="22"/>
        </w:rPr>
        <w:t xml:space="preserve"> y </w:t>
      </w:r>
      <w:r w:rsidR="00FB69D7" w:rsidRPr="00890443">
        <w:rPr>
          <w:rFonts w:ascii="Arial" w:eastAsia="Arial" w:hAnsi="Arial" w:cs="Arial"/>
          <w:b/>
          <w:sz w:val="22"/>
          <w:szCs w:val="22"/>
        </w:rPr>
        <w:t xml:space="preserve">Salud y farmacia </w:t>
      </w:r>
      <w:r w:rsidR="00FB69D7" w:rsidRPr="00655163">
        <w:rPr>
          <w:rFonts w:ascii="Arial" w:eastAsia="Arial" w:hAnsi="Arial" w:cs="Arial"/>
          <w:bCs/>
          <w:sz w:val="22"/>
          <w:szCs w:val="22"/>
        </w:rPr>
        <w:t>(81%).</w:t>
      </w:r>
    </w:p>
    <w:p w14:paraId="1F7B36E6" w14:textId="32854343" w:rsidR="00FB69D7" w:rsidRDefault="00FB69D7" w:rsidP="00FB69D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Con el mismo dato que la media nacional (78%) se encuentran los sectores de </w:t>
      </w:r>
      <w:r w:rsidRPr="00655163">
        <w:rPr>
          <w:rFonts w:ascii="Arial" w:eastAsia="Arial" w:hAnsi="Arial" w:cs="Arial"/>
          <w:b/>
          <w:sz w:val="22"/>
          <w:szCs w:val="22"/>
        </w:rPr>
        <w:t>Bienes y servicios de consumo</w:t>
      </w:r>
      <w:r>
        <w:rPr>
          <w:rFonts w:ascii="Arial" w:eastAsia="Arial" w:hAnsi="Arial" w:cs="Arial"/>
          <w:bCs/>
          <w:sz w:val="22"/>
          <w:szCs w:val="22"/>
        </w:rPr>
        <w:t xml:space="preserve"> e </w:t>
      </w:r>
      <w:r w:rsidRPr="00655163">
        <w:rPr>
          <w:rFonts w:ascii="Arial" w:eastAsia="Arial" w:hAnsi="Arial" w:cs="Arial"/>
          <w:b/>
          <w:sz w:val="22"/>
          <w:szCs w:val="22"/>
        </w:rPr>
        <w:t>IT</w:t>
      </w:r>
      <w:r>
        <w:rPr>
          <w:rFonts w:ascii="Arial" w:eastAsia="Arial" w:hAnsi="Arial" w:cs="Arial"/>
          <w:bCs/>
          <w:sz w:val="22"/>
          <w:szCs w:val="22"/>
        </w:rPr>
        <w:t xml:space="preserve">, mientras que ligeramente por debajo estarían </w:t>
      </w:r>
      <w:r w:rsidRPr="00655163">
        <w:rPr>
          <w:rFonts w:ascii="Arial" w:eastAsia="Arial" w:hAnsi="Arial" w:cs="Arial"/>
          <w:b/>
          <w:sz w:val="22"/>
          <w:szCs w:val="22"/>
        </w:rPr>
        <w:t>Publicidad y comunicación</w:t>
      </w:r>
      <w:r>
        <w:rPr>
          <w:rFonts w:ascii="Arial" w:eastAsia="Arial" w:hAnsi="Arial" w:cs="Arial"/>
          <w:bCs/>
          <w:sz w:val="22"/>
          <w:szCs w:val="22"/>
        </w:rPr>
        <w:t xml:space="preserve"> y </w:t>
      </w:r>
      <w:r w:rsidRPr="00655163">
        <w:rPr>
          <w:rFonts w:ascii="Arial" w:eastAsia="Arial" w:hAnsi="Arial" w:cs="Arial"/>
          <w:b/>
          <w:sz w:val="22"/>
          <w:szCs w:val="22"/>
        </w:rPr>
        <w:t>Energía y suministros</w:t>
      </w:r>
      <w:r>
        <w:rPr>
          <w:rFonts w:ascii="Arial" w:eastAsia="Arial" w:hAnsi="Arial" w:cs="Arial"/>
          <w:bCs/>
          <w:sz w:val="22"/>
          <w:szCs w:val="22"/>
        </w:rPr>
        <w:t xml:space="preserve"> (ambos con un 77%). Por último, cierra la clasificación el sector </w:t>
      </w:r>
      <w:r w:rsidRPr="00655163">
        <w:rPr>
          <w:rFonts w:ascii="Arial" w:eastAsia="Arial" w:hAnsi="Arial" w:cs="Arial"/>
          <w:b/>
          <w:sz w:val="22"/>
          <w:szCs w:val="22"/>
        </w:rPr>
        <w:t>Financiero e inmobiliario</w:t>
      </w:r>
      <w:r>
        <w:rPr>
          <w:rFonts w:ascii="Arial" w:eastAsia="Arial" w:hAnsi="Arial" w:cs="Arial"/>
          <w:bCs/>
          <w:sz w:val="22"/>
          <w:szCs w:val="22"/>
        </w:rPr>
        <w:t>, con un 70%.</w:t>
      </w:r>
    </w:p>
    <w:bookmarkEnd w:id="6"/>
    <w:p w14:paraId="790AB194" w14:textId="517761E6" w:rsidR="00FB69D7" w:rsidRDefault="007D0CFF" w:rsidP="00FB69D7">
      <w:pPr>
        <w:spacing w:before="120" w:line="288" w:lineRule="auto"/>
        <w:jc w:val="both"/>
        <w:rPr>
          <w:rFonts w:ascii="Arial" w:eastAsia="Arial" w:hAnsi="Arial" w:cs="Arial"/>
          <w:bCs/>
          <w:sz w:val="22"/>
          <w:szCs w:val="22"/>
        </w:rPr>
      </w:pPr>
      <w:r>
        <w:rPr>
          <w:rFonts w:ascii="Arial" w:eastAsia="Arial" w:hAnsi="Arial" w:cs="Arial"/>
          <w:bCs/>
          <w:noProof/>
          <w:sz w:val="22"/>
          <w:szCs w:val="22"/>
        </w:rPr>
        <w:drawing>
          <wp:inline distT="0" distB="0" distL="0" distR="0" wp14:anchorId="4CC97C7E" wp14:editId="76B3B320">
            <wp:extent cx="5814701" cy="179489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4429" cy="1810241"/>
                    </a:xfrm>
                    <a:prstGeom prst="rect">
                      <a:avLst/>
                    </a:prstGeom>
                    <a:noFill/>
                  </pic:spPr>
                </pic:pic>
              </a:graphicData>
            </a:graphic>
          </wp:inline>
        </w:drawing>
      </w:r>
    </w:p>
    <w:p w14:paraId="2A4B66D0" w14:textId="6A579C46" w:rsidR="00FB69D7" w:rsidRPr="00356679" w:rsidRDefault="00FB69D7" w:rsidP="00FB69D7">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w:t>
      </w:r>
      <w:r w:rsidR="00D73001">
        <w:rPr>
          <w:rFonts w:ascii="Arial" w:eastAsia="Arial" w:hAnsi="Arial" w:cs="Arial"/>
          <w:bCs/>
          <w:i/>
          <w:iCs/>
          <w:sz w:val="18"/>
          <w:szCs w:val="18"/>
        </w:rPr>
        <w:t xml:space="preserve"> en España</w:t>
      </w:r>
    </w:p>
    <w:p w14:paraId="55A0390B" w14:textId="77777777" w:rsidR="00FB69D7" w:rsidRPr="00142E26" w:rsidRDefault="00FB69D7" w:rsidP="00356679">
      <w:pPr>
        <w:spacing w:before="120" w:line="288" w:lineRule="auto"/>
        <w:jc w:val="both"/>
        <w:rPr>
          <w:rFonts w:ascii="Arial" w:eastAsia="Arial" w:hAnsi="Arial" w:cs="Arial"/>
          <w:b/>
          <w:sz w:val="22"/>
          <w:szCs w:val="22"/>
        </w:rPr>
      </w:pPr>
    </w:p>
    <w:bookmarkEnd w:id="5"/>
    <w:p w14:paraId="4A3E3778" w14:textId="1EC0ECB1" w:rsidR="00596187" w:rsidRPr="00142E26" w:rsidRDefault="00F761C4" w:rsidP="00356679">
      <w:pPr>
        <w:spacing w:before="120" w:line="288" w:lineRule="auto"/>
        <w:jc w:val="both"/>
        <w:rPr>
          <w:rFonts w:ascii="Arial" w:eastAsia="Arial" w:hAnsi="Arial" w:cs="Arial"/>
          <w:b/>
          <w:sz w:val="22"/>
          <w:szCs w:val="22"/>
        </w:rPr>
      </w:pPr>
      <w:r>
        <w:rPr>
          <w:rFonts w:ascii="Arial" w:eastAsia="Arial" w:hAnsi="Arial" w:cs="Arial"/>
          <w:b/>
          <w:sz w:val="22"/>
          <w:szCs w:val="22"/>
        </w:rPr>
        <w:t>El Noroeste de España lidera el desajuste</w:t>
      </w:r>
      <w:r w:rsidR="00596187" w:rsidRPr="00142E26">
        <w:rPr>
          <w:rFonts w:ascii="Arial" w:eastAsia="Arial" w:hAnsi="Arial" w:cs="Arial"/>
          <w:b/>
          <w:sz w:val="22"/>
          <w:szCs w:val="22"/>
        </w:rPr>
        <w:t xml:space="preserve"> de talento</w:t>
      </w:r>
    </w:p>
    <w:p w14:paraId="685DA501" w14:textId="77777777" w:rsidR="00D05483" w:rsidRDefault="00D05483" w:rsidP="00D05483">
      <w:pPr>
        <w:spacing w:before="120" w:line="288" w:lineRule="auto"/>
        <w:jc w:val="both"/>
        <w:rPr>
          <w:rFonts w:ascii="Arial" w:eastAsia="Arial" w:hAnsi="Arial" w:cs="Arial"/>
          <w:bCs/>
          <w:sz w:val="22"/>
          <w:szCs w:val="22"/>
        </w:rPr>
      </w:pPr>
      <w:bookmarkStart w:id="7" w:name="_Hlk158136573"/>
      <w:r>
        <w:rPr>
          <w:rFonts w:ascii="Arial" w:eastAsia="Arial" w:hAnsi="Arial" w:cs="Arial"/>
          <w:bCs/>
          <w:sz w:val="22"/>
          <w:szCs w:val="22"/>
        </w:rPr>
        <w:t xml:space="preserve">Por otro lado, en el análisis por regiones, el desajuste de talento se comporta de forma similar que en el conjunto de España. Así, </w:t>
      </w:r>
      <w:r w:rsidRPr="00642CB5">
        <w:rPr>
          <w:rFonts w:ascii="Arial" w:eastAsia="Arial" w:hAnsi="Arial" w:cs="Arial"/>
          <w:b/>
          <w:sz w:val="22"/>
          <w:szCs w:val="22"/>
        </w:rPr>
        <w:t xml:space="preserve">por encima de la media nacional, se encuentran las zonas </w:t>
      </w:r>
      <w:r w:rsidRPr="00FB69D7">
        <w:rPr>
          <w:rFonts w:ascii="Arial" w:eastAsia="Arial" w:hAnsi="Arial" w:cs="Arial"/>
          <w:b/>
          <w:sz w:val="22"/>
          <w:szCs w:val="22"/>
        </w:rPr>
        <w:t>Noroeste (Galicia, Asturias y Castilla y León), con un 81%, Sur (Andalucía, Extremadura y Canarias) y Norte (Cantabria, País Vasco, Navarra, La Rioja y Aragón), ambas con un 80%</w:t>
      </w:r>
      <w:r>
        <w:rPr>
          <w:rFonts w:ascii="Arial" w:eastAsia="Arial" w:hAnsi="Arial" w:cs="Arial"/>
          <w:bCs/>
          <w:sz w:val="22"/>
          <w:szCs w:val="22"/>
        </w:rPr>
        <w:t>.</w:t>
      </w:r>
    </w:p>
    <w:p w14:paraId="6B9001C2" w14:textId="77777777" w:rsidR="00D05483" w:rsidRDefault="00D05483" w:rsidP="00D0548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su parte, </w:t>
      </w:r>
      <w:r w:rsidRPr="00642CB5">
        <w:rPr>
          <w:rFonts w:ascii="Arial" w:eastAsia="Arial" w:hAnsi="Arial" w:cs="Arial"/>
          <w:b/>
          <w:sz w:val="22"/>
          <w:szCs w:val="22"/>
        </w:rPr>
        <w:t>Noreste (Catalu</w:t>
      </w:r>
      <w:r w:rsidRPr="00142E26">
        <w:rPr>
          <w:rFonts w:ascii="Arial" w:eastAsia="Arial" w:hAnsi="Arial" w:cs="Arial"/>
          <w:b/>
          <w:sz w:val="22"/>
          <w:szCs w:val="22"/>
        </w:rPr>
        <w:t>ña y Baleares)</w:t>
      </w:r>
      <w:r>
        <w:rPr>
          <w:rFonts w:ascii="Arial" w:eastAsia="Arial" w:hAnsi="Arial" w:cs="Arial"/>
          <w:bCs/>
          <w:sz w:val="22"/>
          <w:szCs w:val="22"/>
        </w:rPr>
        <w:t xml:space="preserve"> mejora en seis puntos en la comparativa interanual y se sitúa en el 78%, mismo dato que el promedio nacional. Por debajo de la media se posicionan </w:t>
      </w:r>
      <w:r w:rsidRPr="00E36DF7">
        <w:rPr>
          <w:rFonts w:ascii="Arial" w:eastAsia="Arial" w:hAnsi="Arial" w:cs="Arial"/>
          <w:b/>
          <w:sz w:val="22"/>
          <w:szCs w:val="22"/>
        </w:rPr>
        <w:t>Levante (</w:t>
      </w:r>
      <w:r w:rsidRPr="00142E26">
        <w:rPr>
          <w:rFonts w:ascii="Arial" w:eastAsia="Arial" w:hAnsi="Arial" w:cs="Arial"/>
          <w:b/>
          <w:sz w:val="22"/>
          <w:szCs w:val="22"/>
        </w:rPr>
        <w:t xml:space="preserve">Región de Murcia y </w:t>
      </w:r>
      <w:proofErr w:type="spellStart"/>
      <w:r w:rsidRPr="00142E26">
        <w:rPr>
          <w:rFonts w:ascii="Arial" w:eastAsia="Arial" w:hAnsi="Arial" w:cs="Arial"/>
          <w:b/>
          <w:sz w:val="22"/>
          <w:szCs w:val="22"/>
        </w:rPr>
        <w:t>Comunitat</w:t>
      </w:r>
      <w:proofErr w:type="spellEnd"/>
      <w:r w:rsidRPr="00142E26">
        <w:rPr>
          <w:rFonts w:ascii="Arial" w:eastAsia="Arial" w:hAnsi="Arial" w:cs="Arial"/>
          <w:b/>
          <w:sz w:val="22"/>
          <w:szCs w:val="22"/>
        </w:rPr>
        <w:t xml:space="preserve"> </w:t>
      </w:r>
      <w:r w:rsidRPr="002870C7">
        <w:rPr>
          <w:rFonts w:ascii="Arial" w:eastAsia="Arial" w:hAnsi="Arial" w:cs="Arial"/>
          <w:b/>
          <w:sz w:val="22"/>
          <w:szCs w:val="22"/>
        </w:rPr>
        <w:t>Valenciana) y Centro</w:t>
      </w:r>
      <w:r>
        <w:rPr>
          <w:rFonts w:ascii="Arial" w:eastAsia="Arial" w:hAnsi="Arial" w:cs="Arial"/>
          <w:bCs/>
          <w:sz w:val="22"/>
          <w:szCs w:val="22"/>
        </w:rPr>
        <w:t xml:space="preserve"> </w:t>
      </w:r>
      <w:r w:rsidRPr="00142E26">
        <w:rPr>
          <w:rFonts w:ascii="Arial" w:eastAsia="Arial" w:hAnsi="Arial" w:cs="Arial"/>
          <w:b/>
          <w:sz w:val="22"/>
          <w:szCs w:val="22"/>
        </w:rPr>
        <w:t>(Madrid y Castilla-La Mancha)</w:t>
      </w:r>
      <w:r>
        <w:rPr>
          <w:rFonts w:ascii="Arial" w:eastAsia="Arial" w:hAnsi="Arial" w:cs="Arial"/>
          <w:bCs/>
          <w:sz w:val="22"/>
          <w:szCs w:val="22"/>
        </w:rPr>
        <w:t>, con datos del 77% y 76%, respectivamente.</w:t>
      </w:r>
    </w:p>
    <w:bookmarkEnd w:id="7"/>
    <w:p w14:paraId="0975AB0A" w14:textId="77777777" w:rsidR="00B60986" w:rsidRDefault="00B60986" w:rsidP="00356679">
      <w:pPr>
        <w:spacing w:before="120" w:line="288" w:lineRule="auto"/>
        <w:jc w:val="both"/>
        <w:rPr>
          <w:rFonts w:ascii="Arial" w:eastAsia="Arial" w:hAnsi="Arial" w:cs="Arial"/>
          <w:bCs/>
          <w:sz w:val="22"/>
          <w:szCs w:val="22"/>
        </w:rPr>
      </w:pPr>
    </w:p>
    <w:p w14:paraId="5AF91CD9" w14:textId="77777777" w:rsidR="00601B68" w:rsidRDefault="00601B68" w:rsidP="00356679">
      <w:pPr>
        <w:spacing w:before="120" w:line="288" w:lineRule="auto"/>
        <w:jc w:val="both"/>
        <w:rPr>
          <w:rFonts w:ascii="Arial" w:eastAsia="Arial" w:hAnsi="Arial" w:cs="Arial"/>
          <w:bCs/>
          <w:sz w:val="22"/>
          <w:szCs w:val="22"/>
        </w:rPr>
      </w:pPr>
    </w:p>
    <w:p w14:paraId="68279196" w14:textId="7FBA29C8" w:rsidR="006B2084" w:rsidRPr="00142E26" w:rsidRDefault="006B2084" w:rsidP="00356679">
      <w:pPr>
        <w:spacing w:before="120" w:line="288" w:lineRule="auto"/>
        <w:jc w:val="both"/>
        <w:rPr>
          <w:rFonts w:ascii="Arial" w:eastAsia="Arial" w:hAnsi="Arial" w:cs="Arial"/>
          <w:b/>
          <w:sz w:val="22"/>
          <w:szCs w:val="22"/>
        </w:rPr>
      </w:pPr>
      <w:r w:rsidRPr="00142E26">
        <w:rPr>
          <w:rFonts w:ascii="Arial" w:eastAsia="Arial" w:hAnsi="Arial" w:cs="Arial"/>
          <w:b/>
          <w:sz w:val="22"/>
          <w:szCs w:val="22"/>
        </w:rPr>
        <w:lastRenderedPageBreak/>
        <w:t>El desajuste de talento a nivel global</w:t>
      </w:r>
    </w:p>
    <w:p w14:paraId="4517E25B" w14:textId="502614A0" w:rsidR="006B2084" w:rsidRDefault="00743A94" w:rsidP="00356679">
      <w:pPr>
        <w:spacing w:before="120" w:line="288" w:lineRule="auto"/>
        <w:jc w:val="both"/>
        <w:rPr>
          <w:rFonts w:ascii="Arial" w:eastAsia="Arial" w:hAnsi="Arial" w:cs="Arial"/>
          <w:bCs/>
          <w:sz w:val="22"/>
          <w:szCs w:val="22"/>
        </w:rPr>
      </w:pPr>
      <w:r>
        <w:rPr>
          <w:rFonts w:ascii="Arial" w:eastAsia="Arial" w:hAnsi="Arial" w:cs="Arial"/>
          <w:bCs/>
          <w:sz w:val="22"/>
          <w:szCs w:val="22"/>
        </w:rPr>
        <w:t>En el contexto internacional</w:t>
      </w:r>
      <w:r w:rsidR="006B2084" w:rsidRPr="00142E26">
        <w:rPr>
          <w:rFonts w:ascii="Arial" w:eastAsia="Arial" w:hAnsi="Arial" w:cs="Arial"/>
          <w:bCs/>
          <w:sz w:val="22"/>
          <w:szCs w:val="22"/>
        </w:rPr>
        <w:t xml:space="preserve">, España se sitúa por encima de la </w:t>
      </w:r>
      <w:r w:rsidR="00FB69D7">
        <w:rPr>
          <w:rFonts w:ascii="Arial" w:eastAsia="Arial" w:hAnsi="Arial" w:cs="Arial"/>
          <w:bCs/>
          <w:sz w:val="22"/>
          <w:szCs w:val="22"/>
        </w:rPr>
        <w:t xml:space="preserve">media </w:t>
      </w:r>
      <w:r>
        <w:rPr>
          <w:rFonts w:ascii="Arial" w:eastAsia="Arial" w:hAnsi="Arial" w:cs="Arial"/>
          <w:bCs/>
          <w:sz w:val="22"/>
          <w:szCs w:val="22"/>
        </w:rPr>
        <w:t>registrada a nivel mundial (75%). Una lista encabezada por Japón (85%), Alemania, Israel y Grecia, estos tres últimos con un 82%.</w:t>
      </w:r>
    </w:p>
    <w:p w14:paraId="54367F00" w14:textId="729625D6" w:rsidR="00743A94" w:rsidRDefault="00743A94"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caso de los países vecinos, Portugal registra un 81% y Francia un 80%. Italia vuelve a ser el país </w:t>
      </w:r>
      <w:r w:rsidR="00BB66B8">
        <w:rPr>
          <w:rFonts w:ascii="Arial" w:eastAsia="Arial" w:hAnsi="Arial" w:cs="Arial"/>
          <w:bCs/>
          <w:sz w:val="22"/>
          <w:szCs w:val="22"/>
        </w:rPr>
        <w:t xml:space="preserve">del entorno </w:t>
      </w:r>
      <w:r>
        <w:rPr>
          <w:rFonts w:ascii="Arial" w:eastAsia="Arial" w:hAnsi="Arial" w:cs="Arial"/>
          <w:bCs/>
          <w:sz w:val="22"/>
          <w:szCs w:val="22"/>
        </w:rPr>
        <w:t>español con mejor dato</w:t>
      </w:r>
      <w:r w:rsidR="002D69D8">
        <w:rPr>
          <w:rFonts w:ascii="Arial" w:eastAsia="Arial" w:hAnsi="Arial" w:cs="Arial"/>
          <w:bCs/>
          <w:sz w:val="22"/>
          <w:szCs w:val="22"/>
        </w:rPr>
        <w:t xml:space="preserve">: </w:t>
      </w:r>
      <w:r>
        <w:rPr>
          <w:rFonts w:ascii="Arial" w:eastAsia="Arial" w:hAnsi="Arial" w:cs="Arial"/>
          <w:bCs/>
          <w:sz w:val="22"/>
          <w:szCs w:val="22"/>
        </w:rPr>
        <w:t>75%.</w:t>
      </w:r>
    </w:p>
    <w:p w14:paraId="1304FDDF" w14:textId="77777777" w:rsidR="002D69D8" w:rsidRDefault="00BB66B8" w:rsidP="002D69D8">
      <w:pPr>
        <w:spacing w:before="120" w:line="288" w:lineRule="auto"/>
        <w:jc w:val="right"/>
        <w:rPr>
          <w:rFonts w:ascii="Arial" w:eastAsia="Arial" w:hAnsi="Arial" w:cs="Arial"/>
          <w:bCs/>
          <w:i/>
          <w:iCs/>
          <w:sz w:val="18"/>
          <w:szCs w:val="18"/>
        </w:rPr>
      </w:pPr>
      <w:r>
        <w:rPr>
          <w:rFonts w:ascii="Arial" w:eastAsia="Arial" w:hAnsi="Arial" w:cs="Arial"/>
          <w:bCs/>
          <w:noProof/>
          <w:sz w:val="22"/>
          <w:szCs w:val="22"/>
        </w:rPr>
        <w:drawing>
          <wp:inline distT="0" distB="0" distL="0" distR="0" wp14:anchorId="302F033B" wp14:editId="61988F2B">
            <wp:extent cx="5850788" cy="3071676"/>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113" cy="3084972"/>
                    </a:xfrm>
                    <a:prstGeom prst="rect">
                      <a:avLst/>
                    </a:prstGeom>
                    <a:noFill/>
                  </pic:spPr>
                </pic:pic>
              </a:graphicData>
            </a:graphic>
          </wp:inline>
        </w:drawing>
      </w:r>
    </w:p>
    <w:p w14:paraId="46B132E9" w14:textId="618EE258" w:rsidR="002D69D8" w:rsidRPr="00356679" w:rsidRDefault="002D69D8" w:rsidP="002D69D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 xml:space="preserve">por </w:t>
      </w:r>
      <w:r w:rsidR="00D73001">
        <w:rPr>
          <w:rFonts w:ascii="Arial" w:eastAsia="Arial" w:hAnsi="Arial" w:cs="Arial"/>
          <w:bCs/>
          <w:i/>
          <w:iCs/>
          <w:sz w:val="18"/>
          <w:szCs w:val="18"/>
        </w:rPr>
        <w:t>países</w:t>
      </w:r>
    </w:p>
    <w:p w14:paraId="0D9B1F30" w14:textId="77777777" w:rsidR="008F16C4" w:rsidRPr="0006407D" w:rsidRDefault="008F16C4" w:rsidP="0006407D">
      <w:pPr>
        <w:jc w:val="both"/>
        <w:rPr>
          <w:rFonts w:ascii="Arial" w:hAnsi="Arial" w:cs="Arial"/>
          <w:bCs/>
          <w:sz w:val="16"/>
          <w:szCs w:val="16"/>
        </w:rPr>
      </w:pPr>
      <w:bookmarkStart w:id="8" w:name="_Hlk90222956"/>
      <w:bookmarkStart w:id="9" w:name="_Hlk90207554"/>
      <w:bookmarkEnd w:id="1"/>
      <w:bookmarkEnd w:id="2"/>
      <w:bookmarkEnd w:id="3"/>
      <w:bookmarkEnd w:id="4"/>
    </w:p>
    <w:p w14:paraId="3CE9F6EB" w14:textId="77777777" w:rsidR="008F16C4" w:rsidRPr="0006407D" w:rsidRDefault="008F16C4" w:rsidP="0006407D">
      <w:pPr>
        <w:jc w:val="both"/>
        <w:rPr>
          <w:rFonts w:ascii="Arial" w:hAnsi="Arial" w:cs="Arial"/>
          <w:bCs/>
          <w:sz w:val="16"/>
          <w:szCs w:val="16"/>
        </w:rPr>
      </w:pPr>
    </w:p>
    <w:p w14:paraId="67FD06EC" w14:textId="77777777" w:rsidR="0006407D" w:rsidRPr="0006407D" w:rsidRDefault="0006407D" w:rsidP="0006407D">
      <w:pPr>
        <w:jc w:val="both"/>
        <w:rPr>
          <w:rFonts w:ascii="Arial" w:hAnsi="Arial" w:cs="Arial"/>
          <w:bCs/>
          <w:sz w:val="16"/>
          <w:szCs w:val="16"/>
        </w:rPr>
      </w:pPr>
    </w:p>
    <w:p w14:paraId="7C6D7306" w14:textId="77777777" w:rsidR="0006407D" w:rsidRPr="0006407D" w:rsidRDefault="0006407D" w:rsidP="0006407D">
      <w:pPr>
        <w:jc w:val="both"/>
        <w:rPr>
          <w:rFonts w:ascii="Arial" w:hAnsi="Arial" w:cs="Arial"/>
          <w:sz w:val="16"/>
          <w:szCs w:val="16"/>
        </w:rPr>
      </w:pPr>
      <w:r w:rsidRPr="0006407D">
        <w:rPr>
          <w:rFonts w:ascii="Arial" w:hAnsi="Arial" w:cs="Arial"/>
          <w:b/>
          <w:bCs/>
          <w:sz w:val="16"/>
          <w:szCs w:val="16"/>
        </w:rPr>
        <w:t>ManpowerGroup</w:t>
      </w:r>
      <w:r w:rsidRPr="0006407D">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06407D" w:rsidRDefault="0006407D" w:rsidP="0006407D">
      <w:pPr>
        <w:jc w:val="both"/>
        <w:rPr>
          <w:rFonts w:ascii="Arial" w:hAnsi="Arial" w:cs="Arial"/>
          <w:sz w:val="16"/>
          <w:szCs w:val="16"/>
        </w:rPr>
      </w:pPr>
      <w:r w:rsidRPr="0006407D">
        <w:rPr>
          <w:rFonts w:ascii="Arial" w:hAnsi="Arial" w:cs="Arial"/>
          <w:sz w:val="16"/>
          <w:szCs w:val="16"/>
        </w:rPr>
        <w:t xml:space="preserve">Más información en </w:t>
      </w:r>
      <w:hyperlink r:id="rId11" w:history="1">
        <w:r w:rsidRPr="0006407D">
          <w:rPr>
            <w:rStyle w:val="Hipervnculo"/>
            <w:rFonts w:ascii="Arial" w:hAnsi="Arial" w:cs="Arial"/>
            <w:sz w:val="16"/>
            <w:szCs w:val="16"/>
          </w:rPr>
          <w:t>www.manpowergroup.es</w:t>
        </w:r>
      </w:hyperlink>
      <w:r w:rsidRPr="0006407D">
        <w:rPr>
          <w:rFonts w:ascii="Arial" w:hAnsi="Arial" w:cs="Arial"/>
          <w:sz w:val="16"/>
          <w:szCs w:val="16"/>
        </w:rPr>
        <w:t>.</w:t>
      </w:r>
    </w:p>
    <w:p w14:paraId="36D9F6DC" w14:textId="77777777" w:rsidR="008F16C4" w:rsidRPr="0006407D" w:rsidRDefault="008F16C4" w:rsidP="0006407D">
      <w:pPr>
        <w:jc w:val="both"/>
        <w:rPr>
          <w:rFonts w:ascii="Arial" w:hAnsi="Arial" w:cs="Arial"/>
          <w:b/>
          <w:bCs/>
          <w:sz w:val="16"/>
          <w:szCs w:val="16"/>
        </w:rPr>
      </w:pPr>
    </w:p>
    <w:p w14:paraId="156C1617" w14:textId="77777777" w:rsidR="0006407D" w:rsidRPr="0006407D" w:rsidRDefault="0006407D" w:rsidP="0006407D">
      <w:pPr>
        <w:jc w:val="both"/>
        <w:rPr>
          <w:rFonts w:ascii="Arial" w:hAnsi="Arial" w:cs="Arial"/>
          <w:b/>
          <w:bCs/>
          <w:sz w:val="16"/>
          <w:szCs w:val="16"/>
        </w:rPr>
      </w:pPr>
    </w:p>
    <w:p w14:paraId="388A29FF" w14:textId="77777777" w:rsidR="001A2A76" w:rsidRPr="0006407D" w:rsidRDefault="001A2A76" w:rsidP="0006407D">
      <w:pPr>
        <w:tabs>
          <w:tab w:val="right" w:pos="8838"/>
        </w:tabs>
        <w:autoSpaceDE w:val="0"/>
        <w:autoSpaceDN w:val="0"/>
        <w:adjustRightInd w:val="0"/>
        <w:jc w:val="both"/>
        <w:rPr>
          <w:rFonts w:ascii="Arial" w:hAnsi="Arial" w:cs="Arial"/>
          <w:b/>
          <w:bCs/>
          <w:sz w:val="16"/>
          <w:szCs w:val="16"/>
        </w:rPr>
      </w:pPr>
      <w:r w:rsidRPr="0006407D">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06407D" w14:paraId="0018B07B" w14:textId="77777777" w:rsidTr="00D8716B">
        <w:trPr>
          <w:trHeight w:val="1159"/>
        </w:trPr>
        <w:tc>
          <w:tcPr>
            <w:tcW w:w="2943" w:type="dxa"/>
            <w:hideMark/>
          </w:tcPr>
          <w:p w14:paraId="437D86C7" w14:textId="77777777" w:rsidR="0006407D" w:rsidRPr="0006407D" w:rsidRDefault="0006407D" w:rsidP="0006407D">
            <w:pPr>
              <w:pStyle w:val="NormalWeb"/>
              <w:spacing w:before="0" w:beforeAutospacing="0" w:after="0" w:afterAutospacing="0"/>
              <w:jc w:val="both"/>
              <w:rPr>
                <w:rStyle w:val="Hipervnculo"/>
                <w:rFonts w:ascii="Arial" w:hAnsi="Arial" w:cs="Arial"/>
                <w:color w:val="auto"/>
                <w:sz w:val="16"/>
                <w:szCs w:val="16"/>
                <w:u w:val="none"/>
              </w:rPr>
            </w:pPr>
            <w:bookmarkStart w:id="10" w:name="_Hlk90207537"/>
            <w:r w:rsidRPr="0006407D">
              <w:rPr>
                <w:rFonts w:ascii="Arial" w:hAnsi="Arial" w:cs="Arial"/>
                <w:color w:val="000000"/>
                <w:sz w:val="16"/>
                <w:szCs w:val="16"/>
                <w:u w:val="single"/>
              </w:rPr>
              <w:t>Agencia de comunicación Indie PR</w:t>
            </w:r>
          </w:p>
          <w:p w14:paraId="41A86BAA" w14:textId="77777777" w:rsidR="0006407D" w:rsidRPr="0006407D" w:rsidRDefault="0006407D" w:rsidP="0006407D">
            <w:pPr>
              <w:pStyle w:val="NormalWeb"/>
              <w:spacing w:before="0" w:beforeAutospacing="0" w:after="0" w:afterAutospacing="0"/>
              <w:jc w:val="both"/>
              <w:rPr>
                <w:rFonts w:ascii="Arial" w:hAnsi="Arial" w:cs="Arial"/>
                <w:sz w:val="16"/>
                <w:szCs w:val="16"/>
              </w:rPr>
            </w:pPr>
            <w:r w:rsidRPr="0006407D">
              <w:rPr>
                <w:rFonts w:ascii="Arial" w:hAnsi="Arial" w:cs="Arial"/>
                <w:b/>
                <w:bCs/>
                <w:color w:val="000000"/>
                <w:sz w:val="16"/>
                <w:szCs w:val="16"/>
              </w:rPr>
              <w:t>Cristina Villanueva</w:t>
            </w:r>
          </w:p>
          <w:p w14:paraId="75373DC2" w14:textId="77777777" w:rsidR="0006407D" w:rsidRPr="0006407D" w:rsidRDefault="0006407D" w:rsidP="0006407D">
            <w:pPr>
              <w:pStyle w:val="NormalWeb"/>
              <w:spacing w:before="0" w:beforeAutospacing="0" w:after="0" w:afterAutospacing="0"/>
              <w:rPr>
                <w:rFonts w:ascii="Arial" w:hAnsi="Arial" w:cs="Arial"/>
                <w:color w:val="000000"/>
                <w:sz w:val="16"/>
                <w:szCs w:val="16"/>
              </w:rPr>
            </w:pPr>
            <w:r w:rsidRPr="0006407D">
              <w:rPr>
                <w:rFonts w:ascii="Arial" w:hAnsi="Arial" w:cs="Arial"/>
                <w:color w:val="000000"/>
                <w:sz w:val="16"/>
                <w:szCs w:val="16"/>
              </w:rPr>
              <w:t>Tel.: 687 14 73 60</w:t>
            </w:r>
          </w:p>
          <w:p w14:paraId="634935FC" w14:textId="77777777" w:rsidR="0006407D" w:rsidRPr="0006407D" w:rsidRDefault="001B18D2" w:rsidP="0006407D">
            <w:pPr>
              <w:pStyle w:val="NormalWeb"/>
              <w:spacing w:before="0" w:beforeAutospacing="0" w:after="0" w:afterAutospacing="0"/>
              <w:rPr>
                <w:rStyle w:val="Hipervnculo"/>
                <w:rFonts w:ascii="Arial" w:hAnsi="Arial" w:cs="Arial"/>
                <w:color w:val="1155CC"/>
                <w:sz w:val="16"/>
                <w:szCs w:val="16"/>
              </w:rPr>
            </w:pPr>
            <w:hyperlink r:id="rId12" w:history="1">
              <w:r w:rsidR="0006407D" w:rsidRPr="0006407D">
                <w:rPr>
                  <w:rStyle w:val="Hipervnculo"/>
                  <w:rFonts w:ascii="Arial" w:hAnsi="Arial" w:cs="Arial"/>
                  <w:sz w:val="16"/>
                  <w:szCs w:val="16"/>
                </w:rPr>
                <w:t>cristina@indiepr.es</w:t>
              </w:r>
            </w:hyperlink>
          </w:p>
          <w:p w14:paraId="0AA8DDCA" w14:textId="77777777" w:rsidR="0006407D" w:rsidRPr="0006407D" w:rsidRDefault="0006407D" w:rsidP="0006407D">
            <w:pPr>
              <w:pStyle w:val="NormalWeb"/>
              <w:spacing w:before="0" w:beforeAutospacing="0" w:after="0" w:afterAutospacing="0"/>
              <w:jc w:val="both"/>
              <w:rPr>
                <w:rStyle w:val="Hipervnculo"/>
                <w:rFonts w:ascii="Arial" w:hAnsi="Arial" w:cs="Arial"/>
                <w:color w:val="1155CC"/>
                <w:sz w:val="16"/>
                <w:szCs w:val="16"/>
              </w:rPr>
            </w:pPr>
          </w:p>
          <w:p w14:paraId="0B514EAD" w14:textId="77777777" w:rsidR="0006407D" w:rsidRPr="0006407D" w:rsidRDefault="0006407D" w:rsidP="0006407D">
            <w:pPr>
              <w:pStyle w:val="NormalWeb"/>
              <w:spacing w:before="0" w:beforeAutospacing="0" w:after="0" w:afterAutospacing="0"/>
              <w:jc w:val="both"/>
              <w:rPr>
                <w:rFonts w:ascii="Arial" w:hAnsi="Arial" w:cs="Arial"/>
                <w:sz w:val="16"/>
                <w:szCs w:val="16"/>
              </w:rPr>
            </w:pPr>
            <w:r w:rsidRPr="0006407D">
              <w:rPr>
                <w:rFonts w:ascii="Arial" w:hAnsi="Arial" w:cs="Arial"/>
                <w:b/>
                <w:bCs/>
                <w:color w:val="000000"/>
                <w:sz w:val="16"/>
                <w:szCs w:val="16"/>
              </w:rPr>
              <w:t xml:space="preserve">Rosa </w:t>
            </w:r>
            <w:proofErr w:type="spellStart"/>
            <w:r w:rsidRPr="0006407D">
              <w:rPr>
                <w:rFonts w:ascii="Arial" w:hAnsi="Arial" w:cs="Arial"/>
                <w:b/>
                <w:bCs/>
                <w:color w:val="000000"/>
                <w:sz w:val="16"/>
                <w:szCs w:val="16"/>
              </w:rPr>
              <w:t>Estarellas</w:t>
            </w:r>
            <w:proofErr w:type="spellEnd"/>
          </w:p>
          <w:p w14:paraId="4943F07B" w14:textId="77777777" w:rsidR="0006407D" w:rsidRPr="0006407D" w:rsidRDefault="0006407D" w:rsidP="0006407D">
            <w:pPr>
              <w:pStyle w:val="NormalWeb"/>
              <w:spacing w:before="0" w:beforeAutospacing="0" w:after="0" w:afterAutospacing="0"/>
              <w:jc w:val="both"/>
              <w:rPr>
                <w:rFonts w:ascii="Arial" w:hAnsi="Arial" w:cs="Arial"/>
                <w:sz w:val="16"/>
                <w:szCs w:val="16"/>
              </w:rPr>
            </w:pPr>
            <w:r w:rsidRPr="0006407D">
              <w:rPr>
                <w:rFonts w:ascii="Arial" w:hAnsi="Arial" w:cs="Arial"/>
                <w:color w:val="000000"/>
                <w:sz w:val="16"/>
                <w:szCs w:val="16"/>
              </w:rPr>
              <w:t>Tel.: 618 43 13 89</w:t>
            </w:r>
          </w:p>
          <w:p w14:paraId="42BF9EDC" w14:textId="5684F792" w:rsidR="001A2A76" w:rsidRPr="0006407D" w:rsidRDefault="001B18D2" w:rsidP="0006407D">
            <w:pPr>
              <w:jc w:val="both"/>
              <w:outlineLvl w:val="0"/>
              <w:rPr>
                <w:rFonts w:ascii="Arial" w:hAnsi="Arial" w:cs="Arial"/>
                <w:b/>
                <w:sz w:val="16"/>
                <w:szCs w:val="16"/>
                <w:lang w:val="ca-ES"/>
              </w:rPr>
            </w:pPr>
            <w:hyperlink r:id="rId13" w:history="1">
              <w:r w:rsidR="0006407D" w:rsidRPr="0006407D">
                <w:rPr>
                  <w:rStyle w:val="Hipervnculo"/>
                  <w:rFonts w:ascii="Arial" w:hAnsi="Arial" w:cs="Arial"/>
                  <w:sz w:val="16"/>
                  <w:szCs w:val="16"/>
                </w:rPr>
                <w:t>rosa@indiepr.es</w:t>
              </w:r>
            </w:hyperlink>
          </w:p>
        </w:tc>
        <w:tc>
          <w:tcPr>
            <w:tcW w:w="2977" w:type="dxa"/>
          </w:tcPr>
          <w:p w14:paraId="4C3E35BD" w14:textId="77777777" w:rsidR="001A2A76" w:rsidRPr="0006407D" w:rsidRDefault="001A2A76" w:rsidP="0006407D">
            <w:pPr>
              <w:jc w:val="both"/>
              <w:rPr>
                <w:rFonts w:ascii="Arial" w:hAnsi="Arial" w:cs="Arial"/>
                <w:sz w:val="16"/>
                <w:szCs w:val="16"/>
                <w:lang w:val="ca-ES"/>
              </w:rPr>
            </w:pPr>
          </w:p>
        </w:tc>
        <w:tc>
          <w:tcPr>
            <w:tcW w:w="3028" w:type="dxa"/>
          </w:tcPr>
          <w:p w14:paraId="7657972C" w14:textId="77777777" w:rsidR="0006407D" w:rsidRPr="0006407D" w:rsidRDefault="0006407D" w:rsidP="0006407D">
            <w:pPr>
              <w:jc w:val="both"/>
              <w:outlineLvl w:val="0"/>
              <w:rPr>
                <w:rFonts w:ascii="Arial" w:hAnsi="Arial" w:cs="Arial"/>
                <w:b/>
                <w:sz w:val="16"/>
                <w:szCs w:val="16"/>
              </w:rPr>
            </w:pPr>
            <w:r w:rsidRPr="0006407D">
              <w:rPr>
                <w:rFonts w:ascii="Arial" w:hAnsi="Arial" w:cs="Arial"/>
                <w:b/>
                <w:sz w:val="16"/>
                <w:szCs w:val="16"/>
              </w:rPr>
              <w:t>ManpowerGroup</w:t>
            </w:r>
          </w:p>
          <w:p w14:paraId="194F7523" w14:textId="77777777" w:rsidR="0006407D" w:rsidRPr="0006407D" w:rsidRDefault="0006407D" w:rsidP="0006407D">
            <w:pPr>
              <w:jc w:val="both"/>
              <w:outlineLvl w:val="0"/>
              <w:rPr>
                <w:rFonts w:ascii="Arial" w:hAnsi="Arial" w:cs="Arial"/>
                <w:sz w:val="16"/>
                <w:szCs w:val="16"/>
              </w:rPr>
            </w:pPr>
            <w:r w:rsidRPr="0006407D">
              <w:rPr>
                <w:rFonts w:ascii="Arial" w:hAnsi="Arial" w:cs="Arial"/>
                <w:sz w:val="16"/>
                <w:szCs w:val="16"/>
              </w:rPr>
              <w:t>Dpto. Comunicación</w:t>
            </w:r>
          </w:p>
          <w:p w14:paraId="184D86D3" w14:textId="77777777" w:rsidR="0006407D" w:rsidRPr="0006407D" w:rsidRDefault="0006407D" w:rsidP="0006407D">
            <w:pPr>
              <w:jc w:val="both"/>
              <w:rPr>
                <w:rFonts w:ascii="Arial" w:hAnsi="Arial" w:cs="Arial"/>
                <w:sz w:val="16"/>
                <w:szCs w:val="16"/>
              </w:rPr>
            </w:pPr>
            <w:r w:rsidRPr="0006407D">
              <w:rPr>
                <w:rFonts w:ascii="Arial" w:hAnsi="Arial" w:cs="Arial"/>
                <w:sz w:val="16"/>
                <w:szCs w:val="16"/>
              </w:rPr>
              <w:t>Juan Gómez Rodríguez</w:t>
            </w:r>
          </w:p>
          <w:p w14:paraId="713A0E96" w14:textId="77777777" w:rsidR="0006407D" w:rsidRPr="0006407D" w:rsidRDefault="0006407D" w:rsidP="0006407D">
            <w:pPr>
              <w:jc w:val="both"/>
              <w:rPr>
                <w:rFonts w:ascii="Arial" w:hAnsi="Arial" w:cs="Arial"/>
                <w:sz w:val="16"/>
                <w:szCs w:val="16"/>
              </w:rPr>
            </w:pPr>
            <w:r w:rsidRPr="0006407D">
              <w:rPr>
                <w:rFonts w:ascii="Arial" w:hAnsi="Arial" w:cs="Arial"/>
                <w:sz w:val="16"/>
                <w:szCs w:val="16"/>
              </w:rPr>
              <w:t>Tel. 687 51 96 90</w:t>
            </w:r>
          </w:p>
          <w:p w14:paraId="0C53A61F" w14:textId="654281E1" w:rsidR="001A2A76" w:rsidRPr="0006407D" w:rsidRDefault="001B18D2" w:rsidP="0006407D">
            <w:pPr>
              <w:jc w:val="both"/>
              <w:rPr>
                <w:rFonts w:ascii="Arial" w:hAnsi="Arial" w:cs="Arial"/>
                <w:sz w:val="16"/>
                <w:szCs w:val="16"/>
              </w:rPr>
            </w:pPr>
            <w:hyperlink r:id="rId14" w:history="1">
              <w:r w:rsidR="0006407D" w:rsidRPr="0006407D">
                <w:rPr>
                  <w:rStyle w:val="Hipervnculo"/>
                  <w:rFonts w:ascii="Arial" w:hAnsi="Arial" w:cs="Arial"/>
                  <w:sz w:val="16"/>
                  <w:szCs w:val="16"/>
                </w:rPr>
                <w:t>juan.gomez@manpowergroup.es</w:t>
              </w:r>
            </w:hyperlink>
          </w:p>
        </w:tc>
      </w:tr>
      <w:bookmarkEnd w:id="8"/>
      <w:bookmarkEnd w:id="9"/>
      <w:bookmarkEnd w:id="10"/>
    </w:tbl>
    <w:p w14:paraId="0F55B214" w14:textId="77777777" w:rsidR="008E54AD" w:rsidRPr="0006407D" w:rsidRDefault="008E54AD" w:rsidP="008B3A52">
      <w:pPr>
        <w:tabs>
          <w:tab w:val="right" w:pos="8838"/>
        </w:tabs>
        <w:autoSpaceDE w:val="0"/>
        <w:autoSpaceDN w:val="0"/>
        <w:adjustRightInd w:val="0"/>
        <w:jc w:val="both"/>
        <w:rPr>
          <w:rFonts w:ascii="Arial" w:hAnsi="Arial" w:cs="Arial"/>
          <w:b/>
          <w:bCs/>
          <w:sz w:val="16"/>
          <w:szCs w:val="16"/>
        </w:rPr>
      </w:pPr>
    </w:p>
    <w:sectPr w:rsidR="008E54AD" w:rsidRPr="0006407D"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FB2D" w14:textId="77777777" w:rsidR="000F1600" w:rsidRDefault="000F1600">
      <w:r>
        <w:separator/>
      </w:r>
    </w:p>
  </w:endnote>
  <w:endnote w:type="continuationSeparator" w:id="0">
    <w:p w14:paraId="5DBCCD97" w14:textId="77777777" w:rsidR="000F1600" w:rsidRDefault="000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D52A" w14:textId="77777777" w:rsidR="000F1600" w:rsidRDefault="000F1600">
      <w:r>
        <w:separator/>
      </w:r>
    </w:p>
  </w:footnote>
  <w:footnote w:type="continuationSeparator" w:id="0">
    <w:p w14:paraId="39DD6D5E" w14:textId="77777777" w:rsidR="000F1600" w:rsidRDefault="000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869A2"/>
    <w:rsid w:val="000906C2"/>
    <w:rsid w:val="00095B8E"/>
    <w:rsid w:val="000A1973"/>
    <w:rsid w:val="000D2B5A"/>
    <w:rsid w:val="000D6BCE"/>
    <w:rsid w:val="000E71B3"/>
    <w:rsid w:val="000F1600"/>
    <w:rsid w:val="0011037D"/>
    <w:rsid w:val="0012170F"/>
    <w:rsid w:val="00122E68"/>
    <w:rsid w:val="00123015"/>
    <w:rsid w:val="00124DEA"/>
    <w:rsid w:val="0012624A"/>
    <w:rsid w:val="001324E2"/>
    <w:rsid w:val="00132B7B"/>
    <w:rsid w:val="00137C4E"/>
    <w:rsid w:val="00142E26"/>
    <w:rsid w:val="00157558"/>
    <w:rsid w:val="0017076E"/>
    <w:rsid w:val="001741E5"/>
    <w:rsid w:val="00176074"/>
    <w:rsid w:val="00181155"/>
    <w:rsid w:val="00183B91"/>
    <w:rsid w:val="0018572B"/>
    <w:rsid w:val="00186814"/>
    <w:rsid w:val="0019152E"/>
    <w:rsid w:val="001A2A76"/>
    <w:rsid w:val="001B13C9"/>
    <w:rsid w:val="001B18D2"/>
    <w:rsid w:val="001B2737"/>
    <w:rsid w:val="001B39AD"/>
    <w:rsid w:val="002059D2"/>
    <w:rsid w:val="00212129"/>
    <w:rsid w:val="002246BA"/>
    <w:rsid w:val="00226CF7"/>
    <w:rsid w:val="002331A8"/>
    <w:rsid w:val="0024317A"/>
    <w:rsid w:val="00275B27"/>
    <w:rsid w:val="002870C7"/>
    <w:rsid w:val="00294475"/>
    <w:rsid w:val="002A1736"/>
    <w:rsid w:val="002A3D92"/>
    <w:rsid w:val="002B3F52"/>
    <w:rsid w:val="002B461A"/>
    <w:rsid w:val="002C02D9"/>
    <w:rsid w:val="002D032D"/>
    <w:rsid w:val="002D69D8"/>
    <w:rsid w:val="002E289B"/>
    <w:rsid w:val="002F04D0"/>
    <w:rsid w:val="003019C9"/>
    <w:rsid w:val="0031261F"/>
    <w:rsid w:val="0032424C"/>
    <w:rsid w:val="00326125"/>
    <w:rsid w:val="00332D02"/>
    <w:rsid w:val="00337FD2"/>
    <w:rsid w:val="00344595"/>
    <w:rsid w:val="00346E05"/>
    <w:rsid w:val="003470C8"/>
    <w:rsid w:val="003509A5"/>
    <w:rsid w:val="0035236D"/>
    <w:rsid w:val="00356679"/>
    <w:rsid w:val="00357D6E"/>
    <w:rsid w:val="0038103A"/>
    <w:rsid w:val="00383F58"/>
    <w:rsid w:val="00393767"/>
    <w:rsid w:val="003A214F"/>
    <w:rsid w:val="003A2B29"/>
    <w:rsid w:val="003B09CB"/>
    <w:rsid w:val="003C5FF2"/>
    <w:rsid w:val="003D0E85"/>
    <w:rsid w:val="003D4F9E"/>
    <w:rsid w:val="003E08D8"/>
    <w:rsid w:val="003E70B2"/>
    <w:rsid w:val="003F40DD"/>
    <w:rsid w:val="00401FD2"/>
    <w:rsid w:val="00407AD8"/>
    <w:rsid w:val="004162DB"/>
    <w:rsid w:val="0044035B"/>
    <w:rsid w:val="00441AA5"/>
    <w:rsid w:val="004510D0"/>
    <w:rsid w:val="004612C2"/>
    <w:rsid w:val="00466751"/>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7688"/>
    <w:rsid w:val="00541A7B"/>
    <w:rsid w:val="00561B53"/>
    <w:rsid w:val="0057357A"/>
    <w:rsid w:val="00576DDF"/>
    <w:rsid w:val="00577B92"/>
    <w:rsid w:val="00583013"/>
    <w:rsid w:val="005838B1"/>
    <w:rsid w:val="005939CD"/>
    <w:rsid w:val="00596187"/>
    <w:rsid w:val="005A44F4"/>
    <w:rsid w:val="005A7DB1"/>
    <w:rsid w:val="005A7E9C"/>
    <w:rsid w:val="005C1E72"/>
    <w:rsid w:val="005C33ED"/>
    <w:rsid w:val="005D1AE9"/>
    <w:rsid w:val="005D5DC2"/>
    <w:rsid w:val="005E4173"/>
    <w:rsid w:val="005F0582"/>
    <w:rsid w:val="005F1509"/>
    <w:rsid w:val="005F1CEB"/>
    <w:rsid w:val="00601B68"/>
    <w:rsid w:val="00635FD7"/>
    <w:rsid w:val="00636A81"/>
    <w:rsid w:val="00642CB5"/>
    <w:rsid w:val="0064466A"/>
    <w:rsid w:val="006515B4"/>
    <w:rsid w:val="00652342"/>
    <w:rsid w:val="006536BD"/>
    <w:rsid w:val="00655163"/>
    <w:rsid w:val="00687087"/>
    <w:rsid w:val="00691081"/>
    <w:rsid w:val="00694B11"/>
    <w:rsid w:val="006972C0"/>
    <w:rsid w:val="006A7F27"/>
    <w:rsid w:val="006B0824"/>
    <w:rsid w:val="006B2084"/>
    <w:rsid w:val="006B6CC7"/>
    <w:rsid w:val="006E5208"/>
    <w:rsid w:val="00720BA0"/>
    <w:rsid w:val="0072269E"/>
    <w:rsid w:val="00731F03"/>
    <w:rsid w:val="00741C49"/>
    <w:rsid w:val="00743A94"/>
    <w:rsid w:val="00795548"/>
    <w:rsid w:val="007A0082"/>
    <w:rsid w:val="007A74B1"/>
    <w:rsid w:val="007B189E"/>
    <w:rsid w:val="007B59D1"/>
    <w:rsid w:val="007B679F"/>
    <w:rsid w:val="007D0CFF"/>
    <w:rsid w:val="007E2DCC"/>
    <w:rsid w:val="00801C70"/>
    <w:rsid w:val="00825CE9"/>
    <w:rsid w:val="00836F8E"/>
    <w:rsid w:val="008405EA"/>
    <w:rsid w:val="00841381"/>
    <w:rsid w:val="00853C2E"/>
    <w:rsid w:val="00857C81"/>
    <w:rsid w:val="008764B5"/>
    <w:rsid w:val="00882FCB"/>
    <w:rsid w:val="00885750"/>
    <w:rsid w:val="00886F0C"/>
    <w:rsid w:val="00890443"/>
    <w:rsid w:val="00891830"/>
    <w:rsid w:val="0089190E"/>
    <w:rsid w:val="008979FE"/>
    <w:rsid w:val="008A4224"/>
    <w:rsid w:val="008B155B"/>
    <w:rsid w:val="008B3A52"/>
    <w:rsid w:val="008C0114"/>
    <w:rsid w:val="008C44D3"/>
    <w:rsid w:val="008C5AB0"/>
    <w:rsid w:val="008E0924"/>
    <w:rsid w:val="008E54AD"/>
    <w:rsid w:val="008E730B"/>
    <w:rsid w:val="008F16C4"/>
    <w:rsid w:val="008F1BD7"/>
    <w:rsid w:val="00914020"/>
    <w:rsid w:val="00924550"/>
    <w:rsid w:val="00927308"/>
    <w:rsid w:val="00931026"/>
    <w:rsid w:val="00932CB7"/>
    <w:rsid w:val="00936982"/>
    <w:rsid w:val="00942998"/>
    <w:rsid w:val="009436E0"/>
    <w:rsid w:val="009456E3"/>
    <w:rsid w:val="00970C74"/>
    <w:rsid w:val="0097165A"/>
    <w:rsid w:val="0097553E"/>
    <w:rsid w:val="00977BE7"/>
    <w:rsid w:val="0098143A"/>
    <w:rsid w:val="00981941"/>
    <w:rsid w:val="00982693"/>
    <w:rsid w:val="00991A90"/>
    <w:rsid w:val="009A0E87"/>
    <w:rsid w:val="009A1EB0"/>
    <w:rsid w:val="009A3526"/>
    <w:rsid w:val="009A6F8A"/>
    <w:rsid w:val="009B2C9F"/>
    <w:rsid w:val="009C2675"/>
    <w:rsid w:val="009D2EF1"/>
    <w:rsid w:val="009D3CF7"/>
    <w:rsid w:val="009F01EA"/>
    <w:rsid w:val="009F301A"/>
    <w:rsid w:val="009F7DB9"/>
    <w:rsid w:val="009F7E1C"/>
    <w:rsid w:val="00A01277"/>
    <w:rsid w:val="00A02C34"/>
    <w:rsid w:val="00A346D1"/>
    <w:rsid w:val="00A41710"/>
    <w:rsid w:val="00A50B4D"/>
    <w:rsid w:val="00A52E71"/>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E22AA"/>
    <w:rsid w:val="00BF2547"/>
    <w:rsid w:val="00BF2A9C"/>
    <w:rsid w:val="00BF5E11"/>
    <w:rsid w:val="00C02974"/>
    <w:rsid w:val="00C536C9"/>
    <w:rsid w:val="00C549B2"/>
    <w:rsid w:val="00C61314"/>
    <w:rsid w:val="00C7314E"/>
    <w:rsid w:val="00C73CB1"/>
    <w:rsid w:val="00C83097"/>
    <w:rsid w:val="00C91CCE"/>
    <w:rsid w:val="00C926CF"/>
    <w:rsid w:val="00C97060"/>
    <w:rsid w:val="00CA0905"/>
    <w:rsid w:val="00CA50B7"/>
    <w:rsid w:val="00CB6B70"/>
    <w:rsid w:val="00CF74FF"/>
    <w:rsid w:val="00D02D48"/>
    <w:rsid w:val="00D05483"/>
    <w:rsid w:val="00D206CE"/>
    <w:rsid w:val="00D27B5C"/>
    <w:rsid w:val="00D3571D"/>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3BED"/>
    <w:rsid w:val="00E14B59"/>
    <w:rsid w:val="00E269C3"/>
    <w:rsid w:val="00E36DF7"/>
    <w:rsid w:val="00E375F1"/>
    <w:rsid w:val="00E66280"/>
    <w:rsid w:val="00E675C5"/>
    <w:rsid w:val="00E845CF"/>
    <w:rsid w:val="00E91772"/>
    <w:rsid w:val="00EA7C7E"/>
    <w:rsid w:val="00ED4D55"/>
    <w:rsid w:val="00ED788C"/>
    <w:rsid w:val="00F00E57"/>
    <w:rsid w:val="00F03D39"/>
    <w:rsid w:val="00F0652C"/>
    <w:rsid w:val="00F0730E"/>
    <w:rsid w:val="00F12F38"/>
    <w:rsid w:val="00F24D52"/>
    <w:rsid w:val="00F34988"/>
    <w:rsid w:val="00F3670F"/>
    <w:rsid w:val="00F45079"/>
    <w:rsid w:val="00F45C5A"/>
    <w:rsid w:val="00F5395E"/>
    <w:rsid w:val="00F5559A"/>
    <w:rsid w:val="00F72967"/>
    <w:rsid w:val="00F73A73"/>
    <w:rsid w:val="00F74E6C"/>
    <w:rsid w:val="00F761C4"/>
    <w:rsid w:val="00F87D9D"/>
    <w:rsid w:val="00F93A2E"/>
    <w:rsid w:val="00F95E09"/>
    <w:rsid w:val="00F963D2"/>
    <w:rsid w:val="00FB561C"/>
    <w:rsid w:val="00FB69D7"/>
    <w:rsid w:val="00FC3937"/>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osa@indiep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powergroup.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22</cp:revision>
  <cp:lastPrinted>2022-12-19T17:21:00Z</cp:lastPrinted>
  <dcterms:created xsi:type="dcterms:W3CDTF">2024-01-02T16:12:00Z</dcterms:created>
  <dcterms:modified xsi:type="dcterms:W3CDTF">2024-02-07T09:34:00Z</dcterms:modified>
</cp:coreProperties>
</file>