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CFB3" w14:textId="7B36871D" w:rsidR="00C619A9" w:rsidRDefault="00C15442" w:rsidP="00C619A9">
      <w:pPr>
        <w:spacing w:before="120" w:after="0" w:line="288" w:lineRule="auto"/>
        <w:jc w:val="center"/>
        <w:rPr>
          <w:rFonts w:ascii="Arial" w:hAnsi="Arial" w:cs="Arial"/>
          <w:b/>
          <w:bCs/>
          <w:sz w:val="20"/>
          <w:szCs w:val="20"/>
          <w:u w:val="single"/>
        </w:rPr>
      </w:pPr>
      <w:r w:rsidRPr="00970F14">
        <w:rPr>
          <w:rFonts w:ascii="Arial" w:hAnsi="Arial" w:cs="Arial"/>
          <w:b/>
          <w:bCs/>
          <w:sz w:val="20"/>
          <w:szCs w:val="20"/>
          <w:u w:val="single"/>
        </w:rPr>
        <w:t>Barómetro del Talento de ManpowerGrou</w:t>
      </w:r>
      <w:r w:rsidR="00C619A9">
        <w:rPr>
          <w:rFonts w:ascii="Arial" w:hAnsi="Arial" w:cs="Arial"/>
          <w:b/>
          <w:bCs/>
          <w:sz w:val="20"/>
          <w:szCs w:val="20"/>
          <w:u w:val="single"/>
        </w:rPr>
        <w:t>p</w:t>
      </w:r>
    </w:p>
    <w:p w14:paraId="25141318" w14:textId="77777777" w:rsidR="00C619A9" w:rsidRDefault="00C619A9" w:rsidP="00C619A9">
      <w:pPr>
        <w:spacing w:before="120" w:after="0" w:line="288" w:lineRule="auto"/>
        <w:jc w:val="center"/>
        <w:rPr>
          <w:rFonts w:ascii="Arial" w:hAnsi="Arial" w:cs="Arial"/>
          <w:b/>
          <w:bCs/>
          <w:sz w:val="20"/>
          <w:szCs w:val="20"/>
          <w:u w:val="single"/>
        </w:rPr>
      </w:pPr>
    </w:p>
    <w:p w14:paraId="140DACC7" w14:textId="0E2D4ED9" w:rsidR="00C15442" w:rsidRPr="00C15442" w:rsidRDefault="00C15442" w:rsidP="00C619A9">
      <w:pPr>
        <w:spacing w:before="120" w:after="0" w:line="288" w:lineRule="auto"/>
        <w:jc w:val="center"/>
        <w:rPr>
          <w:rFonts w:ascii="Arial" w:hAnsi="Arial" w:cs="Arial"/>
          <w:b/>
          <w:bCs/>
          <w:sz w:val="36"/>
          <w:szCs w:val="36"/>
        </w:rPr>
      </w:pPr>
      <w:r w:rsidRPr="00C15442">
        <w:rPr>
          <w:rFonts w:ascii="Arial" w:hAnsi="Arial" w:cs="Arial"/>
          <w:b/>
          <w:bCs/>
          <w:sz w:val="36"/>
          <w:szCs w:val="36"/>
        </w:rPr>
        <w:t>El 91% de los trabajadores confía en su talento, pero apenas un 35% ve opciones de ascenso</w:t>
      </w:r>
    </w:p>
    <w:p w14:paraId="64BF366C" w14:textId="77777777" w:rsidR="00C619A9" w:rsidRPr="00C619A9" w:rsidRDefault="00C619A9" w:rsidP="00C619A9">
      <w:pPr>
        <w:spacing w:before="120" w:after="0" w:line="288" w:lineRule="auto"/>
        <w:jc w:val="both"/>
        <w:rPr>
          <w:rFonts w:ascii="Arial" w:hAnsi="Arial" w:cs="Arial"/>
          <w:sz w:val="20"/>
          <w:szCs w:val="20"/>
        </w:rPr>
      </w:pPr>
    </w:p>
    <w:p w14:paraId="49394AF6" w14:textId="47C76372" w:rsidR="00661290" w:rsidRPr="00661290" w:rsidRDefault="00661290" w:rsidP="00C619A9">
      <w:pPr>
        <w:pStyle w:val="Prrafodelista"/>
        <w:numPr>
          <w:ilvl w:val="0"/>
          <w:numId w:val="5"/>
        </w:numPr>
        <w:spacing w:before="120" w:after="0" w:line="288" w:lineRule="auto"/>
        <w:ind w:left="426"/>
        <w:jc w:val="both"/>
        <w:rPr>
          <w:rFonts w:ascii="Arial" w:hAnsi="Arial" w:cs="Arial"/>
          <w:sz w:val="20"/>
          <w:szCs w:val="20"/>
        </w:rPr>
      </w:pPr>
      <w:r>
        <w:rPr>
          <w:rFonts w:ascii="Arial" w:hAnsi="Arial" w:cs="Arial"/>
          <w:b/>
          <w:bCs/>
          <w:sz w:val="20"/>
          <w:szCs w:val="20"/>
        </w:rPr>
        <w:t xml:space="preserve">La </w:t>
      </w:r>
      <w:r w:rsidRPr="00661290">
        <w:rPr>
          <w:rFonts w:ascii="Arial" w:hAnsi="Arial" w:cs="Arial"/>
          <w:b/>
          <w:bCs/>
          <w:sz w:val="20"/>
          <w:szCs w:val="20"/>
        </w:rPr>
        <w:t>satisfacción general de los profesionales españoles se sitúa en un 68%</w:t>
      </w:r>
      <w:r>
        <w:rPr>
          <w:rFonts w:ascii="Arial" w:hAnsi="Arial" w:cs="Arial"/>
          <w:b/>
          <w:bCs/>
          <w:sz w:val="20"/>
          <w:szCs w:val="20"/>
        </w:rPr>
        <w:t>, en línea con la media global</w:t>
      </w:r>
    </w:p>
    <w:p w14:paraId="0BC8E76A" w14:textId="611A4E43" w:rsidR="003062A8" w:rsidRPr="00BA45C6" w:rsidRDefault="003062A8" w:rsidP="00C619A9">
      <w:pPr>
        <w:pStyle w:val="Prrafodelista"/>
        <w:numPr>
          <w:ilvl w:val="0"/>
          <w:numId w:val="5"/>
        </w:numPr>
        <w:spacing w:before="120" w:after="0" w:line="288" w:lineRule="auto"/>
        <w:ind w:left="426"/>
        <w:jc w:val="both"/>
        <w:rPr>
          <w:rFonts w:ascii="Arial" w:hAnsi="Arial" w:cs="Arial"/>
          <w:sz w:val="20"/>
          <w:szCs w:val="20"/>
        </w:rPr>
      </w:pPr>
      <w:r w:rsidRPr="003062A8">
        <w:rPr>
          <w:rFonts w:ascii="Arial" w:hAnsi="Arial" w:cs="Arial"/>
          <w:b/>
          <w:bCs/>
          <w:sz w:val="20"/>
          <w:szCs w:val="20"/>
        </w:rPr>
        <w:t>El 84% de los españoles siente propósito en su trabaj</w:t>
      </w:r>
      <w:r w:rsidR="002F0F5B">
        <w:rPr>
          <w:rFonts w:ascii="Arial" w:hAnsi="Arial" w:cs="Arial"/>
          <w:b/>
          <w:bCs/>
          <w:sz w:val="20"/>
          <w:szCs w:val="20"/>
        </w:rPr>
        <w:t>o,</w:t>
      </w:r>
      <w:r w:rsidRPr="003062A8">
        <w:rPr>
          <w:rFonts w:ascii="Arial" w:hAnsi="Arial" w:cs="Arial"/>
          <w:b/>
          <w:bCs/>
          <w:sz w:val="20"/>
          <w:szCs w:val="20"/>
        </w:rPr>
        <w:t xml:space="preserve"> pero más de la mitad acaba el día exhausto por el estrés</w:t>
      </w:r>
    </w:p>
    <w:p w14:paraId="634AE29C" w14:textId="365A3048" w:rsidR="003062A8" w:rsidRPr="003062A8" w:rsidRDefault="003062A8" w:rsidP="00C619A9">
      <w:pPr>
        <w:pStyle w:val="Prrafodelista"/>
        <w:numPr>
          <w:ilvl w:val="0"/>
          <w:numId w:val="5"/>
        </w:numPr>
        <w:spacing w:before="120" w:after="0" w:line="288" w:lineRule="auto"/>
        <w:ind w:left="426"/>
        <w:jc w:val="both"/>
        <w:rPr>
          <w:rFonts w:ascii="Arial" w:hAnsi="Arial" w:cs="Arial"/>
          <w:sz w:val="20"/>
          <w:szCs w:val="20"/>
        </w:rPr>
      </w:pPr>
      <w:r w:rsidRPr="003062A8">
        <w:rPr>
          <w:rFonts w:ascii="Arial" w:hAnsi="Arial" w:cs="Arial"/>
          <w:b/>
          <w:bCs/>
          <w:sz w:val="20"/>
          <w:szCs w:val="20"/>
        </w:rPr>
        <w:t>Uno de cada tres trabajadores planea cambiar de empleo en los próximos seis meses</w:t>
      </w:r>
    </w:p>
    <w:p w14:paraId="3843E68C" w14:textId="77777777" w:rsidR="00C619A9" w:rsidRDefault="00C619A9" w:rsidP="00C619A9">
      <w:pPr>
        <w:spacing w:before="120" w:after="0" w:line="288" w:lineRule="auto"/>
        <w:jc w:val="both"/>
        <w:rPr>
          <w:rFonts w:ascii="Arial" w:hAnsi="Arial" w:cs="Arial"/>
          <w:sz w:val="20"/>
          <w:szCs w:val="20"/>
        </w:rPr>
      </w:pPr>
    </w:p>
    <w:p w14:paraId="66D3315E" w14:textId="6A6AFFEC" w:rsidR="00C619A9" w:rsidRPr="00C619A9" w:rsidRDefault="00C619A9" w:rsidP="00C619A9">
      <w:pPr>
        <w:spacing w:before="120" w:after="0" w:line="288" w:lineRule="auto"/>
        <w:jc w:val="both"/>
        <w:rPr>
          <w:rFonts w:ascii="Arial" w:hAnsi="Arial" w:cs="Arial"/>
          <w:sz w:val="20"/>
          <w:szCs w:val="20"/>
        </w:rPr>
      </w:pPr>
      <w:r w:rsidRPr="00C619A9">
        <w:rPr>
          <w:rFonts w:ascii="Arial" w:hAnsi="Arial" w:cs="Arial"/>
          <w:b/>
          <w:bCs/>
          <w:sz w:val="20"/>
          <w:szCs w:val="20"/>
        </w:rPr>
        <w:t xml:space="preserve">Madrid, 4 de septiembre de 2025.- </w:t>
      </w:r>
      <w:r w:rsidRPr="00C619A9">
        <w:rPr>
          <w:rFonts w:ascii="Arial" w:hAnsi="Arial" w:cs="Arial"/>
          <w:sz w:val="20"/>
          <w:szCs w:val="20"/>
        </w:rPr>
        <w:t xml:space="preserve">El último </w:t>
      </w:r>
      <w:r w:rsidRPr="00C619A9">
        <w:rPr>
          <w:rFonts w:ascii="Arial" w:hAnsi="Arial" w:cs="Arial"/>
          <w:b/>
          <w:bCs/>
          <w:sz w:val="20"/>
          <w:szCs w:val="20"/>
        </w:rPr>
        <w:t>Barómetro del Talento de ManpowerGroup</w:t>
      </w:r>
      <w:r w:rsidRPr="00C619A9">
        <w:rPr>
          <w:rFonts w:ascii="Arial" w:hAnsi="Arial" w:cs="Arial"/>
          <w:sz w:val="20"/>
          <w:szCs w:val="20"/>
        </w:rPr>
        <w:t xml:space="preserve"> sitúa al mercado laboral español en una encrucijada: mientras la </w:t>
      </w:r>
      <w:r w:rsidRPr="00C619A9">
        <w:rPr>
          <w:rFonts w:ascii="Arial" w:hAnsi="Arial" w:cs="Arial"/>
          <w:b/>
          <w:bCs/>
          <w:sz w:val="20"/>
          <w:szCs w:val="20"/>
        </w:rPr>
        <w:t>confianza en las propias habilidades alcanza al 91% de los trabajadores</w:t>
      </w:r>
      <w:r w:rsidRPr="00C619A9">
        <w:rPr>
          <w:rFonts w:ascii="Arial" w:hAnsi="Arial" w:cs="Arial"/>
          <w:sz w:val="20"/>
          <w:szCs w:val="20"/>
        </w:rPr>
        <w:t xml:space="preserve">, la percepción de </w:t>
      </w:r>
      <w:r w:rsidRPr="00C619A9">
        <w:rPr>
          <w:rFonts w:ascii="Arial" w:hAnsi="Arial" w:cs="Arial"/>
          <w:b/>
          <w:bCs/>
          <w:sz w:val="20"/>
          <w:szCs w:val="20"/>
        </w:rPr>
        <w:t>oportunidades de desarrollo profesional</w:t>
      </w:r>
      <w:r w:rsidRPr="00C619A9">
        <w:rPr>
          <w:rFonts w:ascii="Arial" w:hAnsi="Arial" w:cs="Arial"/>
          <w:sz w:val="20"/>
          <w:szCs w:val="20"/>
        </w:rPr>
        <w:t xml:space="preserve"> continúa siendo limitada. Solo un </w:t>
      </w:r>
      <w:r w:rsidRPr="00C619A9">
        <w:rPr>
          <w:rFonts w:ascii="Arial" w:hAnsi="Arial" w:cs="Arial"/>
          <w:b/>
          <w:bCs/>
          <w:sz w:val="20"/>
          <w:szCs w:val="20"/>
        </w:rPr>
        <w:t>35% identifica opciones de ascenso dentro de su empresa</w:t>
      </w:r>
      <w:r w:rsidRPr="00C619A9">
        <w:rPr>
          <w:rFonts w:ascii="Arial" w:hAnsi="Arial" w:cs="Arial"/>
          <w:sz w:val="20"/>
          <w:szCs w:val="20"/>
        </w:rPr>
        <w:t xml:space="preserve"> </w:t>
      </w:r>
      <w:r>
        <w:rPr>
          <w:rFonts w:ascii="Arial" w:hAnsi="Arial" w:cs="Arial"/>
          <w:sz w:val="20"/>
          <w:szCs w:val="20"/>
        </w:rPr>
        <w:t>frente a</w:t>
      </w:r>
      <w:r w:rsidRPr="00C619A9">
        <w:rPr>
          <w:rFonts w:ascii="Arial" w:hAnsi="Arial" w:cs="Arial"/>
          <w:sz w:val="20"/>
          <w:szCs w:val="20"/>
        </w:rPr>
        <w:t xml:space="preserve"> un 56% </w:t>
      </w:r>
      <w:r>
        <w:rPr>
          <w:rFonts w:ascii="Arial" w:hAnsi="Arial" w:cs="Arial"/>
          <w:sz w:val="20"/>
          <w:szCs w:val="20"/>
        </w:rPr>
        <w:t xml:space="preserve">que </w:t>
      </w:r>
      <w:r w:rsidRPr="00C619A9">
        <w:rPr>
          <w:rFonts w:ascii="Arial" w:hAnsi="Arial" w:cs="Arial"/>
          <w:sz w:val="20"/>
          <w:szCs w:val="20"/>
        </w:rPr>
        <w:t>percibe oportunidades reales en el mercado.</w:t>
      </w:r>
      <w:r w:rsidR="00661290">
        <w:rPr>
          <w:rFonts w:ascii="Arial" w:hAnsi="Arial" w:cs="Arial"/>
          <w:sz w:val="20"/>
          <w:szCs w:val="20"/>
        </w:rPr>
        <w:t xml:space="preserve"> La </w:t>
      </w:r>
      <w:r w:rsidR="00661290" w:rsidRPr="00661290">
        <w:rPr>
          <w:rFonts w:ascii="Arial" w:hAnsi="Arial" w:cs="Arial"/>
          <w:b/>
          <w:bCs/>
          <w:sz w:val="20"/>
          <w:szCs w:val="20"/>
        </w:rPr>
        <w:t>satisfacción general de los profesionales españoles se sitúa en un 68%</w:t>
      </w:r>
      <w:r w:rsidR="00661290">
        <w:rPr>
          <w:rFonts w:ascii="Arial" w:hAnsi="Arial" w:cs="Arial"/>
          <w:sz w:val="20"/>
          <w:szCs w:val="20"/>
        </w:rPr>
        <w:t>, completamente alineada con la media global.</w:t>
      </w:r>
    </w:p>
    <w:p w14:paraId="4F19C9BA" w14:textId="2F09A636" w:rsidR="00C619A9" w:rsidRPr="00C619A9" w:rsidRDefault="00C619A9" w:rsidP="00C619A9">
      <w:pPr>
        <w:spacing w:before="120" w:after="0" w:line="288" w:lineRule="auto"/>
        <w:jc w:val="both"/>
        <w:rPr>
          <w:rFonts w:ascii="Arial" w:hAnsi="Arial" w:cs="Arial"/>
          <w:sz w:val="20"/>
          <w:szCs w:val="20"/>
        </w:rPr>
      </w:pPr>
      <w:r w:rsidRPr="00C619A9">
        <w:rPr>
          <w:rFonts w:ascii="Arial" w:hAnsi="Arial" w:cs="Arial"/>
          <w:sz w:val="20"/>
          <w:szCs w:val="20"/>
        </w:rPr>
        <w:t>L</w:t>
      </w:r>
      <w:r>
        <w:rPr>
          <w:rFonts w:ascii="Arial" w:hAnsi="Arial" w:cs="Arial"/>
          <w:sz w:val="20"/>
          <w:szCs w:val="20"/>
        </w:rPr>
        <w:t>os datos</w:t>
      </w:r>
      <w:r w:rsidRPr="00C619A9">
        <w:rPr>
          <w:rFonts w:ascii="Arial" w:hAnsi="Arial" w:cs="Arial"/>
          <w:sz w:val="20"/>
          <w:szCs w:val="20"/>
        </w:rPr>
        <w:t xml:space="preserve"> revela</w:t>
      </w:r>
      <w:r>
        <w:rPr>
          <w:rFonts w:ascii="Arial" w:hAnsi="Arial" w:cs="Arial"/>
          <w:sz w:val="20"/>
          <w:szCs w:val="20"/>
        </w:rPr>
        <w:t>n</w:t>
      </w:r>
      <w:r w:rsidRPr="00C619A9">
        <w:rPr>
          <w:rFonts w:ascii="Arial" w:hAnsi="Arial" w:cs="Arial"/>
          <w:sz w:val="20"/>
          <w:szCs w:val="20"/>
        </w:rPr>
        <w:t xml:space="preserve"> que </w:t>
      </w:r>
      <w:r w:rsidRPr="00C619A9">
        <w:rPr>
          <w:rFonts w:ascii="Arial" w:hAnsi="Arial" w:cs="Arial"/>
          <w:b/>
          <w:bCs/>
          <w:sz w:val="20"/>
          <w:szCs w:val="20"/>
        </w:rPr>
        <w:t>el 84% de los empleados encuentra</w:t>
      </w:r>
      <w:r>
        <w:rPr>
          <w:rFonts w:ascii="Arial" w:hAnsi="Arial" w:cs="Arial"/>
          <w:b/>
          <w:bCs/>
          <w:sz w:val="20"/>
          <w:szCs w:val="20"/>
        </w:rPr>
        <w:t>n</w:t>
      </w:r>
      <w:r w:rsidRPr="00C619A9">
        <w:rPr>
          <w:rFonts w:ascii="Arial" w:hAnsi="Arial" w:cs="Arial"/>
          <w:b/>
          <w:bCs/>
          <w:sz w:val="20"/>
          <w:szCs w:val="20"/>
        </w:rPr>
        <w:t xml:space="preserve"> propósito en su actividad</w:t>
      </w:r>
      <w:r w:rsidRPr="00C619A9">
        <w:rPr>
          <w:rFonts w:ascii="Arial" w:hAnsi="Arial" w:cs="Arial"/>
          <w:sz w:val="20"/>
          <w:szCs w:val="20"/>
        </w:rPr>
        <w:t xml:space="preserve">, un indicador positivo de compromiso, que </w:t>
      </w:r>
      <w:r>
        <w:rPr>
          <w:rFonts w:ascii="Arial" w:hAnsi="Arial" w:cs="Arial"/>
          <w:sz w:val="20"/>
          <w:szCs w:val="20"/>
        </w:rPr>
        <w:t xml:space="preserve">se </w:t>
      </w:r>
      <w:r w:rsidRPr="00C619A9">
        <w:rPr>
          <w:rFonts w:ascii="Arial" w:hAnsi="Arial" w:cs="Arial"/>
          <w:sz w:val="20"/>
          <w:szCs w:val="20"/>
        </w:rPr>
        <w:t xml:space="preserve">contrarresta por un elevado nivel de desgaste: </w:t>
      </w:r>
      <w:r w:rsidRPr="00C619A9">
        <w:rPr>
          <w:rFonts w:ascii="Arial" w:hAnsi="Arial" w:cs="Arial"/>
          <w:b/>
          <w:bCs/>
          <w:sz w:val="20"/>
          <w:szCs w:val="20"/>
        </w:rPr>
        <w:t>más de la mitad (56%) reconoce acabar su jornada laboral con altos niveles de estrés</w:t>
      </w:r>
      <w:r w:rsidRPr="00C619A9">
        <w:rPr>
          <w:rFonts w:ascii="Arial" w:hAnsi="Arial" w:cs="Arial"/>
          <w:sz w:val="20"/>
          <w:szCs w:val="20"/>
        </w:rPr>
        <w:t xml:space="preserve">. Este desequilibrio sitúa el índice de bienestar laboral en el </w:t>
      </w:r>
      <w:r w:rsidRPr="00C619A9">
        <w:rPr>
          <w:rFonts w:ascii="Arial" w:hAnsi="Arial" w:cs="Arial"/>
          <w:b/>
          <w:bCs/>
          <w:sz w:val="20"/>
          <w:szCs w:val="20"/>
        </w:rPr>
        <w:t>64%</w:t>
      </w:r>
      <w:r w:rsidRPr="00C619A9">
        <w:rPr>
          <w:rFonts w:ascii="Arial" w:hAnsi="Arial" w:cs="Arial"/>
          <w:sz w:val="20"/>
          <w:szCs w:val="20"/>
        </w:rPr>
        <w:t xml:space="preserve">, apenas tres puntos por debajo de la media internacional, pero con notables contradicciones: únicamente </w:t>
      </w:r>
      <w:r w:rsidRPr="00C619A9">
        <w:rPr>
          <w:rFonts w:ascii="Arial" w:hAnsi="Arial" w:cs="Arial"/>
          <w:b/>
          <w:bCs/>
          <w:sz w:val="20"/>
          <w:szCs w:val="20"/>
        </w:rPr>
        <w:t>uno de cada cuatro trabajadores considera que su empresa le respalda en la conciliación entre vida personal y profesional</w:t>
      </w:r>
      <w:r w:rsidRPr="00C619A9">
        <w:rPr>
          <w:rFonts w:ascii="Arial" w:hAnsi="Arial" w:cs="Arial"/>
          <w:sz w:val="20"/>
          <w:szCs w:val="20"/>
        </w:rPr>
        <w:t>.</w:t>
      </w:r>
    </w:p>
    <w:p w14:paraId="2B5CB199" w14:textId="77777777" w:rsidR="00C619A9" w:rsidRPr="00C619A9" w:rsidRDefault="00C619A9" w:rsidP="00C619A9">
      <w:pPr>
        <w:spacing w:before="120" w:after="0" w:line="288" w:lineRule="auto"/>
        <w:jc w:val="both"/>
        <w:rPr>
          <w:rFonts w:ascii="Arial" w:hAnsi="Arial" w:cs="Arial"/>
          <w:sz w:val="20"/>
          <w:szCs w:val="20"/>
        </w:rPr>
      </w:pPr>
      <w:r w:rsidRPr="00C619A9">
        <w:rPr>
          <w:rFonts w:ascii="Arial" w:hAnsi="Arial" w:cs="Arial"/>
          <w:sz w:val="20"/>
          <w:szCs w:val="20"/>
        </w:rPr>
        <w:t xml:space="preserve">La </w:t>
      </w:r>
      <w:r w:rsidRPr="00C619A9">
        <w:rPr>
          <w:rFonts w:ascii="Arial" w:hAnsi="Arial" w:cs="Arial"/>
          <w:b/>
          <w:bCs/>
          <w:sz w:val="20"/>
          <w:szCs w:val="20"/>
        </w:rPr>
        <w:t>satisfacción laboral</w:t>
      </w:r>
      <w:r w:rsidRPr="00C619A9">
        <w:rPr>
          <w:rFonts w:ascii="Arial" w:hAnsi="Arial" w:cs="Arial"/>
          <w:sz w:val="20"/>
          <w:szCs w:val="20"/>
        </w:rPr>
        <w:t xml:space="preserve"> se mantiene en un terreno intermedio (61%), similar al promedio mundial. Sin embargo, la </w:t>
      </w:r>
      <w:r w:rsidRPr="00C619A9">
        <w:rPr>
          <w:rFonts w:ascii="Arial" w:hAnsi="Arial" w:cs="Arial"/>
          <w:b/>
          <w:bCs/>
          <w:sz w:val="20"/>
          <w:szCs w:val="20"/>
        </w:rPr>
        <w:t>inestabilidad se refleja en la movilidad prevista</w:t>
      </w:r>
      <w:r w:rsidRPr="00C619A9">
        <w:rPr>
          <w:rFonts w:ascii="Arial" w:hAnsi="Arial" w:cs="Arial"/>
          <w:sz w:val="20"/>
          <w:szCs w:val="20"/>
        </w:rPr>
        <w:t xml:space="preserve">: un </w:t>
      </w:r>
      <w:r w:rsidRPr="00C619A9">
        <w:rPr>
          <w:rFonts w:ascii="Arial" w:hAnsi="Arial" w:cs="Arial"/>
          <w:b/>
          <w:bCs/>
          <w:sz w:val="20"/>
          <w:szCs w:val="20"/>
        </w:rPr>
        <w:t>36% de los trabajadores planea cambiar de empleo en los próximos seis meses</w:t>
      </w:r>
      <w:r w:rsidRPr="00C619A9">
        <w:rPr>
          <w:rFonts w:ascii="Arial" w:hAnsi="Arial" w:cs="Arial"/>
          <w:sz w:val="20"/>
          <w:szCs w:val="20"/>
        </w:rPr>
        <w:t>, mientras que un 30% teme perder su puesto en el corto plazo.</w:t>
      </w:r>
    </w:p>
    <w:p w14:paraId="1E1609EF" w14:textId="77777777" w:rsidR="00C619A9" w:rsidRPr="00C619A9" w:rsidRDefault="00C619A9" w:rsidP="00C619A9">
      <w:pPr>
        <w:spacing w:before="120" w:after="0" w:line="288" w:lineRule="auto"/>
        <w:jc w:val="both"/>
        <w:rPr>
          <w:rFonts w:ascii="Arial" w:hAnsi="Arial" w:cs="Arial"/>
          <w:sz w:val="20"/>
          <w:szCs w:val="20"/>
        </w:rPr>
      </w:pPr>
      <w:r w:rsidRPr="00C619A9">
        <w:rPr>
          <w:rFonts w:ascii="Arial" w:hAnsi="Arial" w:cs="Arial"/>
          <w:sz w:val="20"/>
          <w:szCs w:val="20"/>
        </w:rPr>
        <w:t xml:space="preserve">El análisis generacional apunta a una fragmentación del mercado laboral. La </w:t>
      </w:r>
      <w:r w:rsidRPr="00C619A9">
        <w:rPr>
          <w:rFonts w:ascii="Arial" w:hAnsi="Arial" w:cs="Arial"/>
          <w:b/>
          <w:bCs/>
          <w:sz w:val="20"/>
          <w:szCs w:val="20"/>
        </w:rPr>
        <w:t>Generación Z</w:t>
      </w:r>
      <w:r w:rsidRPr="00C619A9">
        <w:rPr>
          <w:rFonts w:ascii="Arial" w:hAnsi="Arial" w:cs="Arial"/>
          <w:sz w:val="20"/>
          <w:szCs w:val="20"/>
        </w:rPr>
        <w:t xml:space="preserve"> es la más vulnerable: </w:t>
      </w:r>
      <w:r w:rsidRPr="00C619A9">
        <w:rPr>
          <w:rFonts w:ascii="Arial" w:hAnsi="Arial" w:cs="Arial"/>
          <w:b/>
          <w:bCs/>
          <w:sz w:val="20"/>
          <w:szCs w:val="20"/>
        </w:rPr>
        <w:t>seis de cada diez jóvenes contemplan dejar su empleo</w:t>
      </w:r>
      <w:r w:rsidRPr="00C619A9">
        <w:rPr>
          <w:rFonts w:ascii="Arial" w:hAnsi="Arial" w:cs="Arial"/>
          <w:sz w:val="20"/>
          <w:szCs w:val="20"/>
        </w:rPr>
        <w:t xml:space="preserve"> y un 61% declara sufrir altos niveles de estrés. Los </w:t>
      </w:r>
      <w:r w:rsidRPr="00C619A9">
        <w:rPr>
          <w:rFonts w:ascii="Arial" w:hAnsi="Arial" w:cs="Arial"/>
          <w:b/>
          <w:bCs/>
          <w:sz w:val="20"/>
          <w:szCs w:val="20"/>
        </w:rPr>
        <w:t>Millennials</w:t>
      </w:r>
      <w:r w:rsidRPr="00C619A9">
        <w:rPr>
          <w:rFonts w:ascii="Arial" w:hAnsi="Arial" w:cs="Arial"/>
          <w:sz w:val="20"/>
          <w:szCs w:val="20"/>
        </w:rPr>
        <w:t xml:space="preserve"> también muestran un nivel significativo de incertidumbre (45% contempla cambiar de trabajo y un 38% teme perderlo). La </w:t>
      </w:r>
      <w:r w:rsidRPr="00C619A9">
        <w:rPr>
          <w:rFonts w:ascii="Arial" w:hAnsi="Arial" w:cs="Arial"/>
          <w:b/>
          <w:bCs/>
          <w:sz w:val="20"/>
          <w:szCs w:val="20"/>
        </w:rPr>
        <w:t>Generación X</w:t>
      </w:r>
      <w:r w:rsidRPr="00C619A9">
        <w:rPr>
          <w:rFonts w:ascii="Arial" w:hAnsi="Arial" w:cs="Arial"/>
          <w:sz w:val="20"/>
          <w:szCs w:val="20"/>
        </w:rPr>
        <w:t xml:space="preserve">, en cambio, adopta un enfoque más pragmático: solo un 26% valora dejar su empresa, aunque con escasas expectativas de promoción (37%). Por último, los </w:t>
      </w:r>
      <w:r w:rsidRPr="00C619A9">
        <w:rPr>
          <w:rFonts w:ascii="Arial" w:hAnsi="Arial" w:cs="Arial"/>
          <w:b/>
          <w:bCs/>
          <w:sz w:val="20"/>
          <w:szCs w:val="20"/>
        </w:rPr>
        <w:t>Baby Boomers</w:t>
      </w:r>
      <w:r w:rsidRPr="00C619A9">
        <w:rPr>
          <w:rFonts w:ascii="Arial" w:hAnsi="Arial" w:cs="Arial"/>
          <w:sz w:val="20"/>
          <w:szCs w:val="20"/>
        </w:rPr>
        <w:t xml:space="preserve"> mantienen los niveles más bajos de estrés (37%) y apenas un 10% proyecta un cambio laboral.</w:t>
      </w:r>
    </w:p>
    <w:p w14:paraId="4E87D703" w14:textId="77777777" w:rsidR="00C619A9" w:rsidRPr="00C619A9" w:rsidRDefault="00C619A9" w:rsidP="00C619A9">
      <w:pPr>
        <w:spacing w:before="120" w:after="0" w:line="288" w:lineRule="auto"/>
        <w:jc w:val="both"/>
        <w:rPr>
          <w:rFonts w:ascii="Arial" w:hAnsi="Arial" w:cs="Arial"/>
          <w:sz w:val="20"/>
          <w:szCs w:val="20"/>
        </w:rPr>
      </w:pPr>
      <w:r w:rsidRPr="00C619A9">
        <w:rPr>
          <w:rFonts w:ascii="Arial" w:hAnsi="Arial" w:cs="Arial"/>
          <w:sz w:val="20"/>
          <w:szCs w:val="20"/>
        </w:rPr>
        <w:t xml:space="preserve">Otro de los indicadores críticos se refiere a la </w:t>
      </w:r>
      <w:r w:rsidRPr="00C619A9">
        <w:rPr>
          <w:rFonts w:ascii="Arial" w:hAnsi="Arial" w:cs="Arial"/>
          <w:b/>
          <w:bCs/>
          <w:sz w:val="20"/>
          <w:szCs w:val="20"/>
        </w:rPr>
        <w:t>relación con los mandos directos</w:t>
      </w:r>
      <w:r w:rsidRPr="00C619A9">
        <w:rPr>
          <w:rFonts w:ascii="Arial" w:hAnsi="Arial" w:cs="Arial"/>
          <w:sz w:val="20"/>
          <w:szCs w:val="20"/>
        </w:rPr>
        <w:t>: solo un 26% de los empleados confía en que sus responsables consideren sus intereses de desarrollo. Este déficit de liderazgo emerge como un factor clave en la desafección laboral.</w:t>
      </w:r>
    </w:p>
    <w:p w14:paraId="4C5068FA" w14:textId="77777777" w:rsidR="00C619A9" w:rsidRPr="00C619A9" w:rsidRDefault="00C619A9" w:rsidP="00C619A9">
      <w:pPr>
        <w:spacing w:before="120" w:after="0" w:line="288" w:lineRule="auto"/>
        <w:jc w:val="both"/>
        <w:rPr>
          <w:rFonts w:ascii="Arial" w:hAnsi="Arial" w:cs="Arial"/>
          <w:sz w:val="20"/>
          <w:szCs w:val="20"/>
        </w:rPr>
      </w:pPr>
      <w:r w:rsidRPr="00C619A9">
        <w:rPr>
          <w:rFonts w:ascii="Arial" w:hAnsi="Arial" w:cs="Arial"/>
          <w:sz w:val="20"/>
          <w:szCs w:val="20"/>
        </w:rPr>
        <w:lastRenderedPageBreak/>
        <w:t xml:space="preserve">En paralelo, la tecnología sigue avanzando en los entornos de trabajo. El </w:t>
      </w:r>
      <w:r w:rsidRPr="00C619A9">
        <w:rPr>
          <w:rFonts w:ascii="Arial" w:hAnsi="Arial" w:cs="Arial"/>
          <w:b/>
          <w:bCs/>
          <w:sz w:val="20"/>
          <w:szCs w:val="20"/>
        </w:rPr>
        <w:t>38% de los empleados afirma utilizar ya herramientas de inteligencia artificial</w:t>
      </w:r>
      <w:r w:rsidRPr="00C619A9">
        <w:rPr>
          <w:rFonts w:ascii="Arial" w:hAnsi="Arial" w:cs="Arial"/>
          <w:sz w:val="20"/>
          <w:szCs w:val="20"/>
        </w:rPr>
        <w:t xml:space="preserve"> –tradicionales o generativas– en su día a día. No obstante, la presencialidad sigue predominando: un </w:t>
      </w:r>
      <w:r w:rsidRPr="00C619A9">
        <w:rPr>
          <w:rFonts w:ascii="Arial" w:hAnsi="Arial" w:cs="Arial"/>
          <w:b/>
          <w:bCs/>
          <w:sz w:val="20"/>
          <w:szCs w:val="20"/>
        </w:rPr>
        <w:t>68% declara que su empresa exige acudir a la oficina</w:t>
      </w:r>
      <w:r w:rsidRPr="00C619A9">
        <w:rPr>
          <w:rFonts w:ascii="Arial" w:hAnsi="Arial" w:cs="Arial"/>
          <w:sz w:val="20"/>
          <w:szCs w:val="20"/>
        </w:rPr>
        <w:t>, lo que añade presión al equilibrio entre productividad y bienestar.</w:t>
      </w:r>
    </w:p>
    <w:p w14:paraId="43D82553" w14:textId="68E43091" w:rsidR="00C619A9" w:rsidRPr="00C619A9" w:rsidRDefault="0095784E" w:rsidP="00C619A9">
      <w:pPr>
        <w:spacing w:before="120" w:after="0" w:line="288" w:lineRule="auto"/>
        <w:jc w:val="both"/>
        <w:rPr>
          <w:rFonts w:ascii="Arial" w:hAnsi="Arial" w:cs="Arial"/>
          <w:sz w:val="20"/>
          <w:szCs w:val="20"/>
        </w:rPr>
      </w:pPr>
      <w:r>
        <w:rPr>
          <w:rFonts w:ascii="Arial" w:hAnsi="Arial" w:cs="Arial"/>
          <w:sz w:val="20"/>
          <w:szCs w:val="20"/>
        </w:rPr>
        <w:t xml:space="preserve">Raúl Sánchez, Country Manager de ManpowerGroup, comentar en este sentido: </w:t>
      </w:r>
      <w:r w:rsidR="00C619A9" w:rsidRPr="00C619A9">
        <w:rPr>
          <w:rFonts w:ascii="Arial" w:hAnsi="Arial" w:cs="Arial"/>
          <w:sz w:val="20"/>
          <w:szCs w:val="20"/>
        </w:rPr>
        <w:t>“</w:t>
      </w:r>
      <w:r>
        <w:rPr>
          <w:rFonts w:ascii="Arial" w:hAnsi="Arial" w:cs="Arial"/>
          <w:i/>
          <w:iCs/>
          <w:sz w:val="20"/>
          <w:szCs w:val="20"/>
        </w:rPr>
        <w:t xml:space="preserve">en un contexto de desajuste de talento como el que vivimos, la fidelización es crítica. Por eso, </w:t>
      </w:r>
      <w:r w:rsidR="00C619A9">
        <w:rPr>
          <w:rFonts w:ascii="Arial" w:hAnsi="Arial" w:cs="Arial"/>
          <w:i/>
          <w:iCs/>
          <w:sz w:val="20"/>
          <w:szCs w:val="20"/>
        </w:rPr>
        <w:t xml:space="preserve">las empresas tienen que </w:t>
      </w:r>
      <w:r>
        <w:rPr>
          <w:rFonts w:ascii="Arial" w:hAnsi="Arial" w:cs="Arial"/>
          <w:i/>
          <w:iCs/>
          <w:sz w:val="20"/>
          <w:szCs w:val="20"/>
        </w:rPr>
        <w:t>fomentar unas mejores políticas de desarrollo, de formación y de movilidad interna, que no siempre tiene que ser vertical, y realizar un esfuerzo en comunicarlas. Además, en paralelo, deben dotar de formación y de herramientas a sus líderes para que guíen a sus equipos en unos tiempos complejos, de cambios constantes y con la irrupción de la inteligencia artificial en el horizonte</w:t>
      </w:r>
      <w:r w:rsidR="00C619A9" w:rsidRPr="00C619A9">
        <w:rPr>
          <w:rFonts w:ascii="Arial" w:hAnsi="Arial" w:cs="Arial"/>
          <w:sz w:val="20"/>
          <w:szCs w:val="20"/>
        </w:rPr>
        <w:t>”.</w:t>
      </w:r>
    </w:p>
    <w:p w14:paraId="561CA736" w14:textId="77777777" w:rsidR="00C619A9" w:rsidRPr="00C619A9" w:rsidRDefault="00C619A9" w:rsidP="00C619A9">
      <w:pPr>
        <w:spacing w:before="120" w:after="0" w:line="288" w:lineRule="auto"/>
        <w:jc w:val="both"/>
        <w:rPr>
          <w:rFonts w:ascii="Arial" w:hAnsi="Arial" w:cs="Arial"/>
          <w:sz w:val="20"/>
          <w:szCs w:val="20"/>
        </w:rPr>
      </w:pPr>
      <w:r w:rsidRPr="00C619A9">
        <w:rPr>
          <w:rFonts w:ascii="Arial" w:hAnsi="Arial" w:cs="Arial"/>
          <w:sz w:val="20"/>
          <w:szCs w:val="20"/>
        </w:rPr>
        <w:t>El estudio de ManpowerGroup dibuja así un escenario en el que el capital humano muestra fortaleza y disposición, pero se enfrenta a la contradicción de un mercado laboral con perspectivas limitadas de desarrollo, elevado desgaste y un reto pendiente en materia de gestión del talento y liderazgo empresarial.</w:t>
      </w:r>
    </w:p>
    <w:p w14:paraId="32E71DA3" w14:textId="24479617" w:rsidR="00C619A9" w:rsidRDefault="00C619A9" w:rsidP="00C619A9">
      <w:pPr>
        <w:spacing w:before="120" w:after="0" w:line="288" w:lineRule="auto"/>
        <w:jc w:val="both"/>
        <w:rPr>
          <w:rFonts w:ascii="Arial" w:eastAsia="MS Mincho" w:hAnsi="Arial" w:cs="Arial"/>
          <w:b/>
          <w:bCs/>
          <w:kern w:val="0"/>
          <w:sz w:val="16"/>
          <w:szCs w:val="16"/>
          <w:lang w:eastAsia="es-ES"/>
          <w14:ligatures w14:val="none"/>
        </w:rPr>
      </w:pPr>
    </w:p>
    <w:p w14:paraId="64952121" w14:textId="77777777" w:rsidR="00C619A9" w:rsidRDefault="00C619A9" w:rsidP="002F0F5B">
      <w:pPr>
        <w:spacing w:after="0" w:line="240" w:lineRule="auto"/>
        <w:jc w:val="both"/>
        <w:rPr>
          <w:rFonts w:ascii="Arial" w:eastAsia="MS Mincho" w:hAnsi="Arial" w:cs="Arial"/>
          <w:b/>
          <w:bCs/>
          <w:kern w:val="0"/>
          <w:sz w:val="16"/>
          <w:szCs w:val="16"/>
          <w:lang w:eastAsia="es-ES"/>
          <w14:ligatures w14:val="none"/>
        </w:rPr>
      </w:pPr>
    </w:p>
    <w:p w14:paraId="3A11059F" w14:textId="77777777" w:rsidR="00C619A9" w:rsidRDefault="00C619A9" w:rsidP="002F0F5B">
      <w:pPr>
        <w:spacing w:after="0" w:line="240" w:lineRule="auto"/>
        <w:jc w:val="both"/>
        <w:rPr>
          <w:rFonts w:ascii="Arial" w:eastAsia="MS Mincho" w:hAnsi="Arial" w:cs="Arial"/>
          <w:b/>
          <w:bCs/>
          <w:kern w:val="0"/>
          <w:sz w:val="16"/>
          <w:szCs w:val="16"/>
          <w:lang w:eastAsia="es-ES"/>
          <w14:ligatures w14:val="none"/>
        </w:rPr>
      </w:pPr>
    </w:p>
    <w:p w14:paraId="3F068FD7" w14:textId="6768C9C2" w:rsidR="002F0F5B" w:rsidRPr="002F0F5B" w:rsidRDefault="002F0F5B" w:rsidP="002F0F5B">
      <w:pPr>
        <w:spacing w:after="0" w:line="240" w:lineRule="auto"/>
        <w:jc w:val="both"/>
        <w:rPr>
          <w:rFonts w:ascii="Arial" w:eastAsia="MS Mincho" w:hAnsi="Arial" w:cs="Arial"/>
          <w:kern w:val="0"/>
          <w:sz w:val="16"/>
          <w:szCs w:val="16"/>
          <w:lang w:eastAsia="es-ES"/>
          <w14:ligatures w14:val="none"/>
        </w:rPr>
      </w:pPr>
      <w:r w:rsidRPr="002F0F5B">
        <w:rPr>
          <w:rFonts w:ascii="Arial" w:eastAsia="MS Mincho" w:hAnsi="Arial" w:cs="Arial"/>
          <w:b/>
          <w:bCs/>
          <w:kern w:val="0"/>
          <w:sz w:val="16"/>
          <w:szCs w:val="16"/>
          <w:lang w:eastAsia="es-ES"/>
          <w14:ligatures w14:val="none"/>
        </w:rPr>
        <w:t>ManpowerGroup</w:t>
      </w:r>
      <w:r w:rsidRPr="002F0F5B">
        <w:rPr>
          <w:rFonts w:ascii="Arial" w:eastAsia="MS Mincho" w:hAnsi="Arial" w:cs="Arial"/>
          <w:kern w:val="0"/>
          <w:sz w:val="16"/>
          <w:szCs w:val="16"/>
          <w:lang w:eastAsia="es-ES"/>
          <w14:ligatures w14:val="none"/>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79C8F1AF" w14:textId="77777777" w:rsidR="002F0F5B" w:rsidRPr="002F0F5B" w:rsidRDefault="002F0F5B" w:rsidP="002F0F5B">
      <w:pPr>
        <w:spacing w:after="0" w:line="240" w:lineRule="auto"/>
        <w:jc w:val="both"/>
        <w:rPr>
          <w:rFonts w:ascii="Arial" w:eastAsia="MS Mincho" w:hAnsi="Arial" w:cs="Arial"/>
          <w:kern w:val="0"/>
          <w:sz w:val="16"/>
          <w:szCs w:val="16"/>
          <w:lang w:eastAsia="es-ES"/>
          <w14:ligatures w14:val="none"/>
        </w:rPr>
      </w:pPr>
      <w:r w:rsidRPr="002F0F5B">
        <w:rPr>
          <w:rFonts w:ascii="Arial" w:eastAsia="MS Mincho" w:hAnsi="Arial" w:cs="Arial"/>
          <w:kern w:val="0"/>
          <w:sz w:val="16"/>
          <w:szCs w:val="16"/>
          <w:lang w:eastAsia="es-ES"/>
          <w14:ligatures w14:val="none"/>
        </w:rPr>
        <w:t xml:space="preserve">Más información en </w:t>
      </w:r>
      <w:hyperlink r:id="rId11" w:history="1">
        <w:r w:rsidRPr="002F0F5B">
          <w:rPr>
            <w:rFonts w:ascii="Arial" w:eastAsia="MS Mincho" w:hAnsi="Arial" w:cs="Arial"/>
            <w:color w:val="0000FF"/>
            <w:kern w:val="0"/>
            <w:sz w:val="16"/>
            <w:szCs w:val="16"/>
            <w:u w:val="single"/>
            <w:lang w:eastAsia="es-ES"/>
            <w14:ligatures w14:val="none"/>
          </w:rPr>
          <w:t>www.manpowergroup.es</w:t>
        </w:r>
      </w:hyperlink>
      <w:r w:rsidRPr="002F0F5B">
        <w:rPr>
          <w:rFonts w:ascii="Arial" w:eastAsia="MS Mincho" w:hAnsi="Arial" w:cs="Arial"/>
          <w:kern w:val="0"/>
          <w:sz w:val="16"/>
          <w:szCs w:val="16"/>
          <w:lang w:eastAsia="es-ES"/>
          <w14:ligatures w14:val="none"/>
        </w:rPr>
        <w:t>.</w:t>
      </w:r>
    </w:p>
    <w:p w14:paraId="2CECCAD3" w14:textId="77777777" w:rsidR="002F0F5B" w:rsidRPr="002F0F5B" w:rsidRDefault="002F0F5B" w:rsidP="002F0F5B">
      <w:pPr>
        <w:spacing w:after="0" w:line="240" w:lineRule="auto"/>
        <w:jc w:val="both"/>
        <w:rPr>
          <w:rFonts w:ascii="Arial" w:eastAsia="MS Mincho" w:hAnsi="Arial" w:cs="Arial"/>
          <w:b/>
          <w:bCs/>
          <w:kern w:val="0"/>
          <w:sz w:val="16"/>
          <w:szCs w:val="16"/>
          <w:lang w:eastAsia="es-ES"/>
          <w14:ligatures w14:val="none"/>
        </w:rPr>
      </w:pPr>
    </w:p>
    <w:p w14:paraId="132DCB0F" w14:textId="77777777" w:rsidR="002F0F5B" w:rsidRPr="002F0F5B" w:rsidRDefault="002F0F5B" w:rsidP="002F0F5B">
      <w:pPr>
        <w:spacing w:after="0" w:line="240" w:lineRule="auto"/>
        <w:jc w:val="both"/>
        <w:rPr>
          <w:rFonts w:ascii="Arial" w:eastAsia="MS Mincho" w:hAnsi="Arial" w:cs="Arial"/>
          <w:b/>
          <w:bCs/>
          <w:kern w:val="0"/>
          <w:sz w:val="16"/>
          <w:szCs w:val="16"/>
          <w:lang w:eastAsia="es-ES"/>
          <w14:ligatures w14:val="none"/>
        </w:rPr>
      </w:pPr>
    </w:p>
    <w:p w14:paraId="5ED3C016" w14:textId="77777777" w:rsidR="002F0F5B" w:rsidRPr="002F0F5B" w:rsidRDefault="002F0F5B" w:rsidP="002F0F5B">
      <w:pPr>
        <w:tabs>
          <w:tab w:val="right" w:pos="8838"/>
        </w:tabs>
        <w:autoSpaceDE w:val="0"/>
        <w:autoSpaceDN w:val="0"/>
        <w:adjustRightInd w:val="0"/>
        <w:spacing w:after="0" w:line="240" w:lineRule="auto"/>
        <w:jc w:val="both"/>
        <w:rPr>
          <w:rFonts w:ascii="Arial" w:eastAsia="MS Mincho" w:hAnsi="Arial" w:cs="Arial"/>
          <w:b/>
          <w:bCs/>
          <w:kern w:val="0"/>
          <w:sz w:val="16"/>
          <w:szCs w:val="16"/>
          <w:lang w:eastAsia="es-ES"/>
          <w14:ligatures w14:val="none"/>
        </w:rPr>
      </w:pPr>
      <w:r w:rsidRPr="002F0F5B">
        <w:rPr>
          <w:rFonts w:ascii="Arial" w:eastAsia="MS Mincho" w:hAnsi="Arial" w:cs="Arial"/>
          <w:b/>
          <w:bCs/>
          <w:kern w:val="0"/>
          <w:sz w:val="16"/>
          <w:szCs w:val="16"/>
          <w:lang w:eastAsia="es-ES"/>
          <w14:ligatures w14:val="none"/>
        </w:rPr>
        <w:t>Para más información:</w:t>
      </w:r>
    </w:p>
    <w:tbl>
      <w:tblPr>
        <w:tblW w:w="8948" w:type="dxa"/>
        <w:tblLayout w:type="fixed"/>
        <w:tblLook w:val="04A0" w:firstRow="1" w:lastRow="0" w:firstColumn="1" w:lastColumn="0" w:noHBand="0" w:noVBand="1"/>
      </w:tblPr>
      <w:tblGrid>
        <w:gridCol w:w="3686"/>
        <w:gridCol w:w="2234"/>
        <w:gridCol w:w="3028"/>
      </w:tblGrid>
      <w:tr w:rsidR="002F0F5B" w:rsidRPr="002F0F5B" w14:paraId="5A4ABFEC" w14:textId="77777777" w:rsidTr="00C94BD0">
        <w:trPr>
          <w:trHeight w:val="1159"/>
        </w:trPr>
        <w:tc>
          <w:tcPr>
            <w:tcW w:w="3686" w:type="dxa"/>
            <w:hideMark/>
          </w:tcPr>
          <w:p w14:paraId="7C7CEA53" w14:textId="77777777" w:rsidR="002F0F5B" w:rsidRPr="002F0F5B" w:rsidRDefault="002F0F5B" w:rsidP="002F0F5B">
            <w:pPr>
              <w:spacing w:after="0" w:line="240" w:lineRule="auto"/>
              <w:jc w:val="both"/>
              <w:rPr>
                <w:rFonts w:ascii="Arial" w:eastAsia="MS Mincho" w:hAnsi="Arial" w:cs="Arial"/>
                <w:b/>
                <w:bCs/>
                <w:color w:val="0000FF"/>
                <w:kern w:val="0"/>
                <w:sz w:val="16"/>
                <w:szCs w:val="16"/>
                <w:u w:val="single"/>
                <w:lang w:eastAsia="es-ES"/>
                <w14:ligatures w14:val="none"/>
              </w:rPr>
            </w:pPr>
            <w:r w:rsidRPr="002F0F5B">
              <w:rPr>
                <w:rFonts w:ascii="Arial" w:eastAsia="Times New Roman" w:hAnsi="Arial" w:cs="Arial"/>
                <w:b/>
                <w:bCs/>
                <w:color w:val="000000"/>
                <w:kern w:val="0"/>
                <w:sz w:val="16"/>
                <w:szCs w:val="16"/>
                <w:u w:val="single"/>
                <w:lang w:eastAsia="es-ES"/>
                <w14:ligatures w14:val="none"/>
              </w:rPr>
              <w:t>Agencia de comunicación Havas PR</w:t>
            </w:r>
          </w:p>
          <w:p w14:paraId="5F36664A" w14:textId="51866930" w:rsidR="002F0F5B" w:rsidRPr="002F0F5B" w:rsidRDefault="00075A9E" w:rsidP="002F0F5B">
            <w:pPr>
              <w:spacing w:after="0" w:line="240" w:lineRule="auto"/>
              <w:rPr>
                <w:rFonts w:ascii="Arial" w:eastAsia="Times New Roman" w:hAnsi="Arial" w:cs="Arial"/>
                <w:color w:val="000000"/>
                <w:kern w:val="0"/>
                <w:sz w:val="16"/>
                <w:szCs w:val="16"/>
                <w:lang w:eastAsia="es-ES"/>
                <w14:ligatures w14:val="none"/>
              </w:rPr>
            </w:pPr>
            <w:hyperlink r:id="rId12" w:history="1">
              <w:r w:rsidRPr="002A0537">
                <w:rPr>
                  <w:rStyle w:val="Hipervnculo"/>
                  <w:rFonts w:ascii="Arial" w:eastAsia="Times New Roman" w:hAnsi="Arial" w:cs="Arial"/>
                  <w:kern w:val="0"/>
                  <w:sz w:val="16"/>
                  <w:szCs w:val="16"/>
                  <w:lang w:eastAsia="es-ES"/>
                  <w14:ligatures w14:val="none"/>
                </w:rPr>
                <w:t>comunicacion.manpowergroup@havas.com</w:t>
              </w:r>
            </w:hyperlink>
          </w:p>
          <w:p w14:paraId="44FF13B4" w14:textId="77777777" w:rsidR="002F0F5B" w:rsidRPr="002F0F5B" w:rsidRDefault="002F0F5B" w:rsidP="002F0F5B">
            <w:pPr>
              <w:spacing w:after="0" w:line="240" w:lineRule="auto"/>
              <w:jc w:val="both"/>
              <w:outlineLvl w:val="0"/>
              <w:rPr>
                <w:rFonts w:ascii="Arial" w:eastAsia="MS Mincho" w:hAnsi="Arial" w:cs="Arial"/>
                <w:b/>
                <w:kern w:val="0"/>
                <w:sz w:val="16"/>
                <w:szCs w:val="16"/>
                <w:lang w:val="ca-ES" w:eastAsia="es-ES"/>
                <w14:ligatures w14:val="none"/>
              </w:rPr>
            </w:pPr>
          </w:p>
        </w:tc>
        <w:tc>
          <w:tcPr>
            <w:tcW w:w="2234" w:type="dxa"/>
          </w:tcPr>
          <w:p w14:paraId="08A3ACAC" w14:textId="77777777" w:rsidR="002F0F5B" w:rsidRPr="002F0F5B" w:rsidRDefault="002F0F5B" w:rsidP="002F0F5B">
            <w:pPr>
              <w:spacing w:after="0" w:line="240" w:lineRule="auto"/>
              <w:jc w:val="both"/>
              <w:rPr>
                <w:rFonts w:ascii="Arial" w:eastAsia="MS Mincho" w:hAnsi="Arial" w:cs="Arial"/>
                <w:kern w:val="0"/>
                <w:sz w:val="16"/>
                <w:szCs w:val="16"/>
                <w:lang w:val="ca-ES" w:eastAsia="es-ES"/>
                <w14:ligatures w14:val="none"/>
              </w:rPr>
            </w:pPr>
          </w:p>
        </w:tc>
        <w:tc>
          <w:tcPr>
            <w:tcW w:w="3028" w:type="dxa"/>
          </w:tcPr>
          <w:p w14:paraId="0A23F284" w14:textId="77777777" w:rsidR="002F0F5B" w:rsidRPr="002F0F5B" w:rsidRDefault="002F0F5B" w:rsidP="002F0F5B">
            <w:pPr>
              <w:spacing w:after="0" w:line="240" w:lineRule="auto"/>
              <w:jc w:val="both"/>
              <w:outlineLvl w:val="0"/>
              <w:rPr>
                <w:rFonts w:ascii="Arial" w:eastAsia="MS Mincho" w:hAnsi="Arial" w:cs="Arial"/>
                <w:b/>
                <w:kern w:val="0"/>
                <w:sz w:val="16"/>
                <w:szCs w:val="16"/>
                <w:lang w:eastAsia="es-ES"/>
                <w14:ligatures w14:val="none"/>
              </w:rPr>
            </w:pPr>
            <w:r w:rsidRPr="002F0F5B">
              <w:rPr>
                <w:rFonts w:ascii="Arial" w:eastAsia="MS Mincho" w:hAnsi="Arial" w:cs="Arial"/>
                <w:b/>
                <w:kern w:val="0"/>
                <w:sz w:val="16"/>
                <w:szCs w:val="16"/>
                <w:lang w:eastAsia="es-ES"/>
                <w14:ligatures w14:val="none"/>
              </w:rPr>
              <w:t>ManpowerGroup</w:t>
            </w:r>
          </w:p>
          <w:p w14:paraId="201B75FE" w14:textId="77777777" w:rsidR="002F0F5B" w:rsidRPr="002F0F5B" w:rsidRDefault="002F0F5B" w:rsidP="002F0F5B">
            <w:pPr>
              <w:spacing w:after="0" w:line="240" w:lineRule="auto"/>
              <w:jc w:val="both"/>
              <w:outlineLvl w:val="0"/>
              <w:rPr>
                <w:rFonts w:ascii="Arial" w:eastAsia="MS Mincho" w:hAnsi="Arial" w:cs="Arial"/>
                <w:kern w:val="0"/>
                <w:sz w:val="16"/>
                <w:szCs w:val="16"/>
                <w:lang w:eastAsia="es-ES"/>
                <w14:ligatures w14:val="none"/>
              </w:rPr>
            </w:pPr>
            <w:r w:rsidRPr="002F0F5B">
              <w:rPr>
                <w:rFonts w:ascii="Arial" w:eastAsia="MS Mincho" w:hAnsi="Arial" w:cs="Arial"/>
                <w:kern w:val="0"/>
                <w:sz w:val="16"/>
                <w:szCs w:val="16"/>
                <w:lang w:eastAsia="es-ES"/>
                <w14:ligatures w14:val="none"/>
              </w:rPr>
              <w:t>Dpto. Comunicación</w:t>
            </w:r>
          </w:p>
          <w:p w14:paraId="588A420D" w14:textId="77777777" w:rsidR="002F0F5B" w:rsidRPr="002F0F5B" w:rsidRDefault="002F0F5B" w:rsidP="002F0F5B">
            <w:pPr>
              <w:spacing w:after="0" w:line="240" w:lineRule="auto"/>
              <w:jc w:val="both"/>
              <w:rPr>
                <w:rFonts w:ascii="Arial" w:eastAsia="MS Mincho" w:hAnsi="Arial" w:cs="Arial"/>
                <w:kern w:val="0"/>
                <w:sz w:val="16"/>
                <w:szCs w:val="16"/>
                <w:lang w:eastAsia="es-ES"/>
                <w14:ligatures w14:val="none"/>
              </w:rPr>
            </w:pPr>
            <w:r w:rsidRPr="002F0F5B">
              <w:rPr>
                <w:rFonts w:ascii="Arial" w:eastAsia="MS Mincho" w:hAnsi="Arial" w:cs="Arial"/>
                <w:kern w:val="0"/>
                <w:sz w:val="16"/>
                <w:szCs w:val="16"/>
                <w:lang w:eastAsia="es-ES"/>
                <w14:ligatures w14:val="none"/>
              </w:rPr>
              <w:t xml:space="preserve">Gala Díaz Curiel </w:t>
            </w:r>
          </w:p>
          <w:p w14:paraId="4B14D014" w14:textId="77777777" w:rsidR="002F0F5B" w:rsidRPr="002F0F5B" w:rsidRDefault="002F0F5B" w:rsidP="002F0F5B">
            <w:pPr>
              <w:spacing w:after="0" w:line="240" w:lineRule="auto"/>
              <w:jc w:val="both"/>
              <w:rPr>
                <w:rFonts w:ascii="Arial" w:eastAsia="MS Mincho" w:hAnsi="Arial" w:cs="Arial"/>
                <w:kern w:val="0"/>
                <w:sz w:val="16"/>
                <w:szCs w:val="16"/>
                <w:lang w:eastAsia="es-ES"/>
                <w14:ligatures w14:val="none"/>
              </w:rPr>
            </w:pPr>
            <w:r w:rsidRPr="002F0F5B">
              <w:rPr>
                <w:rFonts w:ascii="Arial" w:eastAsia="MS Mincho" w:hAnsi="Arial" w:cs="Arial"/>
                <w:kern w:val="0"/>
                <w:sz w:val="16"/>
                <w:szCs w:val="16"/>
                <w:lang w:eastAsia="es-ES"/>
                <w14:ligatures w14:val="none"/>
              </w:rPr>
              <w:t>607 35 33 49</w:t>
            </w:r>
          </w:p>
          <w:p w14:paraId="787F638F" w14:textId="77777777" w:rsidR="002F0F5B" w:rsidRPr="002F0F5B" w:rsidRDefault="002F0F5B" w:rsidP="002F0F5B">
            <w:pPr>
              <w:spacing w:after="0" w:line="240" w:lineRule="auto"/>
              <w:jc w:val="both"/>
              <w:rPr>
                <w:rFonts w:ascii="Arial" w:eastAsia="MS Mincho" w:hAnsi="Arial" w:cs="Arial"/>
                <w:kern w:val="0"/>
                <w:sz w:val="16"/>
                <w:szCs w:val="16"/>
                <w:u w:val="single"/>
                <w:lang w:eastAsia="es-ES"/>
                <w14:ligatures w14:val="none"/>
              </w:rPr>
            </w:pPr>
            <w:hyperlink r:id="rId13" w:history="1">
              <w:r w:rsidRPr="002F0F5B">
                <w:rPr>
                  <w:rFonts w:ascii="Arial" w:eastAsia="MS Mincho" w:hAnsi="Arial" w:cs="Arial"/>
                  <w:color w:val="0000FF"/>
                  <w:kern w:val="0"/>
                  <w:sz w:val="16"/>
                  <w:szCs w:val="16"/>
                  <w:u w:val="single"/>
                  <w:lang w:eastAsia="es-ES"/>
                  <w14:ligatures w14:val="none"/>
                </w:rPr>
                <w:t>gala.diaz@manpowergroup.es</w:t>
              </w:r>
            </w:hyperlink>
          </w:p>
          <w:p w14:paraId="4A1B4C0D" w14:textId="77777777" w:rsidR="002F0F5B" w:rsidRPr="002F0F5B" w:rsidRDefault="002F0F5B" w:rsidP="002F0F5B">
            <w:pPr>
              <w:spacing w:after="0" w:line="240" w:lineRule="auto"/>
              <w:jc w:val="both"/>
              <w:rPr>
                <w:rFonts w:ascii="Arial" w:eastAsia="MS Mincho" w:hAnsi="Arial" w:cs="Arial"/>
                <w:kern w:val="0"/>
                <w:sz w:val="16"/>
                <w:szCs w:val="16"/>
                <w:lang w:eastAsia="es-ES"/>
                <w14:ligatures w14:val="none"/>
              </w:rPr>
            </w:pPr>
          </w:p>
          <w:p w14:paraId="1441662B" w14:textId="77777777" w:rsidR="002F0F5B" w:rsidRPr="002F0F5B" w:rsidRDefault="002F0F5B" w:rsidP="002F0F5B">
            <w:pPr>
              <w:spacing w:after="0" w:line="240" w:lineRule="auto"/>
              <w:jc w:val="both"/>
              <w:rPr>
                <w:rFonts w:ascii="Arial" w:eastAsia="MS Mincho" w:hAnsi="Arial" w:cs="Arial"/>
                <w:kern w:val="0"/>
                <w:sz w:val="16"/>
                <w:szCs w:val="16"/>
                <w:lang w:eastAsia="es-ES"/>
                <w14:ligatures w14:val="none"/>
              </w:rPr>
            </w:pPr>
            <w:r w:rsidRPr="002F0F5B">
              <w:rPr>
                <w:rFonts w:ascii="Arial" w:eastAsia="MS Mincho" w:hAnsi="Arial" w:cs="Arial"/>
                <w:kern w:val="0"/>
                <w:sz w:val="16"/>
                <w:szCs w:val="16"/>
                <w:lang w:eastAsia="es-ES"/>
                <w14:ligatures w14:val="none"/>
              </w:rPr>
              <w:t>Juan Gómez Rodríguez</w:t>
            </w:r>
          </w:p>
          <w:p w14:paraId="2BF93220" w14:textId="77777777" w:rsidR="002F0F5B" w:rsidRPr="002F0F5B" w:rsidRDefault="002F0F5B" w:rsidP="002F0F5B">
            <w:pPr>
              <w:spacing w:after="0" w:line="240" w:lineRule="auto"/>
              <w:jc w:val="both"/>
              <w:rPr>
                <w:rFonts w:ascii="Arial" w:eastAsia="MS Mincho" w:hAnsi="Arial" w:cs="Arial"/>
                <w:kern w:val="0"/>
                <w:sz w:val="16"/>
                <w:szCs w:val="16"/>
                <w:lang w:val="de-DE" w:eastAsia="es-ES"/>
                <w14:ligatures w14:val="none"/>
              </w:rPr>
            </w:pPr>
            <w:r w:rsidRPr="002F0F5B">
              <w:rPr>
                <w:rFonts w:ascii="Arial" w:eastAsia="MS Mincho" w:hAnsi="Arial" w:cs="Arial"/>
                <w:kern w:val="0"/>
                <w:sz w:val="16"/>
                <w:szCs w:val="16"/>
                <w:lang w:val="de-DE" w:eastAsia="es-ES"/>
                <w14:ligatures w14:val="none"/>
              </w:rPr>
              <w:t>Tel. 687 51 96 90</w:t>
            </w:r>
          </w:p>
          <w:p w14:paraId="1204B970" w14:textId="77777777" w:rsidR="002F0F5B" w:rsidRPr="002F0F5B" w:rsidRDefault="002F0F5B" w:rsidP="002F0F5B">
            <w:pPr>
              <w:spacing w:after="0" w:line="240" w:lineRule="auto"/>
              <w:jc w:val="both"/>
              <w:rPr>
                <w:rFonts w:ascii="Arial" w:eastAsia="MS Mincho" w:hAnsi="Arial" w:cs="Arial"/>
                <w:kern w:val="0"/>
                <w:sz w:val="16"/>
                <w:szCs w:val="16"/>
                <w:lang w:val="de-DE" w:eastAsia="es-ES"/>
                <w14:ligatures w14:val="none"/>
              </w:rPr>
            </w:pPr>
            <w:hyperlink r:id="rId14" w:history="1">
              <w:r w:rsidRPr="002F0F5B">
                <w:rPr>
                  <w:rFonts w:ascii="Arial" w:eastAsia="MS Mincho" w:hAnsi="Arial" w:cs="Arial"/>
                  <w:color w:val="0000FF"/>
                  <w:kern w:val="0"/>
                  <w:sz w:val="16"/>
                  <w:szCs w:val="16"/>
                  <w:u w:val="single"/>
                  <w:lang w:val="de-DE" w:eastAsia="es-ES"/>
                  <w14:ligatures w14:val="none"/>
                </w:rPr>
                <w:t>juan.gomez@manpowergroup.es</w:t>
              </w:r>
            </w:hyperlink>
          </w:p>
        </w:tc>
      </w:tr>
    </w:tbl>
    <w:p w14:paraId="3678E42D" w14:textId="77777777" w:rsidR="002F0F5B" w:rsidRDefault="002F0F5B" w:rsidP="00C15442">
      <w:pPr>
        <w:jc w:val="both"/>
        <w:rPr>
          <w:rFonts w:ascii="Arial" w:hAnsi="Arial" w:cs="Arial"/>
          <w:b/>
          <w:bCs/>
          <w:sz w:val="16"/>
          <w:szCs w:val="16"/>
        </w:rPr>
      </w:pPr>
    </w:p>
    <w:sectPr w:rsidR="002F0F5B" w:rsidSect="002F0F5B">
      <w:headerReference w:type="default" r:id="rId15"/>
      <w:footerReference w:type="default" r:id="rId16"/>
      <w:pgSz w:w="11906" w:h="16838"/>
      <w:pgMar w:top="1417" w:right="1701" w:bottom="1417" w:left="1701" w:header="708"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A21E" w14:textId="77777777" w:rsidR="00280FB4" w:rsidRDefault="00280FB4" w:rsidP="002F0F5B">
      <w:pPr>
        <w:spacing w:after="0" w:line="240" w:lineRule="auto"/>
      </w:pPr>
      <w:r>
        <w:separator/>
      </w:r>
    </w:p>
  </w:endnote>
  <w:endnote w:type="continuationSeparator" w:id="0">
    <w:p w14:paraId="769190C9" w14:textId="77777777" w:rsidR="00280FB4" w:rsidRDefault="00280FB4" w:rsidP="002F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F173" w14:textId="4874FEB0" w:rsidR="002F0F5B" w:rsidRDefault="002F0F5B" w:rsidP="002F0F5B">
    <w:pPr>
      <w:pStyle w:val="Piedepgina"/>
      <w:jc w:val="center"/>
    </w:pPr>
    <w:bookmarkStart w:id="0" w:name="_Hlk198035490"/>
    <w:bookmarkStart w:id="1" w:name="_Hlk198035491"/>
    <w:r>
      <w:rPr>
        <w:noProof/>
      </w:rPr>
      <w:drawing>
        <wp:inline distT="0" distB="0" distL="0" distR="0" wp14:anchorId="4B5B7DFA" wp14:editId="0FFCCA12">
          <wp:extent cx="4493260" cy="734455"/>
          <wp:effectExtent l="0" t="0" r="2540" b="0"/>
          <wp:docPr id="457199837"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54999" name="Imagen 1" descr="Interfaz de usuario gráfica, Aplicación&#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D580A" w14:textId="77777777" w:rsidR="00280FB4" w:rsidRDefault="00280FB4" w:rsidP="002F0F5B">
      <w:pPr>
        <w:spacing w:after="0" w:line="240" w:lineRule="auto"/>
      </w:pPr>
      <w:r>
        <w:separator/>
      </w:r>
    </w:p>
  </w:footnote>
  <w:footnote w:type="continuationSeparator" w:id="0">
    <w:p w14:paraId="298C2DB5" w14:textId="77777777" w:rsidR="00280FB4" w:rsidRDefault="00280FB4" w:rsidP="002F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8CDB" w14:textId="6A1130A7" w:rsidR="002F0F5B" w:rsidRDefault="002F0F5B" w:rsidP="002F0F5B">
    <w:pPr>
      <w:pStyle w:val="Encabezado"/>
      <w:jc w:val="right"/>
    </w:pPr>
    <w:r>
      <w:rPr>
        <w:noProof/>
      </w:rPr>
      <w:drawing>
        <wp:inline distT="0" distB="0" distL="0" distR="0" wp14:anchorId="062D84C3" wp14:editId="67A618C5">
          <wp:extent cx="1231265" cy="670560"/>
          <wp:effectExtent l="0" t="0" r="6985" b="0"/>
          <wp:docPr id="1384884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670560"/>
                  </a:xfrm>
                  <a:prstGeom prst="rect">
                    <a:avLst/>
                  </a:prstGeom>
                  <a:noFill/>
                </pic:spPr>
              </pic:pic>
            </a:graphicData>
          </a:graphic>
        </wp:inline>
      </w:drawing>
    </w:r>
  </w:p>
  <w:p w14:paraId="03CCF092" w14:textId="77777777" w:rsidR="002F0F5B" w:rsidRDefault="002F0F5B" w:rsidP="002F0F5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A082D"/>
    <w:multiLevelType w:val="multilevel"/>
    <w:tmpl w:val="A02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13108"/>
    <w:multiLevelType w:val="multilevel"/>
    <w:tmpl w:val="556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4001F"/>
    <w:multiLevelType w:val="hybridMultilevel"/>
    <w:tmpl w:val="A9580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826E17"/>
    <w:multiLevelType w:val="hybridMultilevel"/>
    <w:tmpl w:val="D2045E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57F4835"/>
    <w:multiLevelType w:val="multilevel"/>
    <w:tmpl w:val="B322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186618">
    <w:abstractNumId w:val="1"/>
  </w:num>
  <w:num w:numId="2" w16cid:durableId="1299067623">
    <w:abstractNumId w:val="0"/>
  </w:num>
  <w:num w:numId="3" w16cid:durableId="706416127">
    <w:abstractNumId w:val="4"/>
  </w:num>
  <w:num w:numId="4" w16cid:durableId="1748530436">
    <w:abstractNumId w:val="3"/>
  </w:num>
  <w:num w:numId="5" w16cid:durableId="155195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14"/>
    <w:rsid w:val="000332D6"/>
    <w:rsid w:val="00075A9E"/>
    <w:rsid w:val="001169D4"/>
    <w:rsid w:val="002309CF"/>
    <w:rsid w:val="00233F50"/>
    <w:rsid w:val="00280FB4"/>
    <w:rsid w:val="002F0F5B"/>
    <w:rsid w:val="003062A8"/>
    <w:rsid w:val="004B7FAC"/>
    <w:rsid w:val="005651B5"/>
    <w:rsid w:val="005D0840"/>
    <w:rsid w:val="00661290"/>
    <w:rsid w:val="00674699"/>
    <w:rsid w:val="006A57B7"/>
    <w:rsid w:val="007238A6"/>
    <w:rsid w:val="0095784E"/>
    <w:rsid w:val="00962AF8"/>
    <w:rsid w:val="00970F14"/>
    <w:rsid w:val="009B74B7"/>
    <w:rsid w:val="00B66BEB"/>
    <w:rsid w:val="00BA45C6"/>
    <w:rsid w:val="00C15442"/>
    <w:rsid w:val="00C619A9"/>
    <w:rsid w:val="00DA79D3"/>
    <w:rsid w:val="00E027B0"/>
    <w:rsid w:val="00E757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2C12"/>
  <w15:chartTrackingRefBased/>
  <w15:docId w15:val="{6353048B-C241-42C4-AC3E-1B17907D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0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0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0F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0F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0F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0F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0F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0F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0F1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0F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0F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0F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0F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0F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0F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0F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0F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0F14"/>
    <w:rPr>
      <w:rFonts w:eastAsiaTheme="majorEastAsia" w:cstheme="majorBidi"/>
      <w:color w:val="272727" w:themeColor="text1" w:themeTint="D8"/>
    </w:rPr>
  </w:style>
  <w:style w:type="paragraph" w:styleId="Ttulo">
    <w:name w:val="Title"/>
    <w:basedOn w:val="Normal"/>
    <w:next w:val="Normal"/>
    <w:link w:val="TtuloCar"/>
    <w:uiPriority w:val="10"/>
    <w:qFormat/>
    <w:rsid w:val="00970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0F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0F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0F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0F14"/>
    <w:pPr>
      <w:spacing w:before="160"/>
      <w:jc w:val="center"/>
    </w:pPr>
    <w:rPr>
      <w:i/>
      <w:iCs/>
      <w:color w:val="404040" w:themeColor="text1" w:themeTint="BF"/>
    </w:rPr>
  </w:style>
  <w:style w:type="character" w:customStyle="1" w:styleId="CitaCar">
    <w:name w:val="Cita Car"/>
    <w:basedOn w:val="Fuentedeprrafopredeter"/>
    <w:link w:val="Cita"/>
    <w:uiPriority w:val="29"/>
    <w:rsid w:val="00970F14"/>
    <w:rPr>
      <w:i/>
      <w:iCs/>
      <w:color w:val="404040" w:themeColor="text1" w:themeTint="BF"/>
    </w:rPr>
  </w:style>
  <w:style w:type="paragraph" w:styleId="Prrafodelista">
    <w:name w:val="List Paragraph"/>
    <w:basedOn w:val="Normal"/>
    <w:uiPriority w:val="34"/>
    <w:qFormat/>
    <w:rsid w:val="00970F14"/>
    <w:pPr>
      <w:ind w:left="720"/>
      <w:contextualSpacing/>
    </w:pPr>
  </w:style>
  <w:style w:type="character" w:styleId="nfasisintenso">
    <w:name w:val="Intense Emphasis"/>
    <w:basedOn w:val="Fuentedeprrafopredeter"/>
    <w:uiPriority w:val="21"/>
    <w:qFormat/>
    <w:rsid w:val="00970F14"/>
    <w:rPr>
      <w:i/>
      <w:iCs/>
      <w:color w:val="0F4761" w:themeColor="accent1" w:themeShade="BF"/>
    </w:rPr>
  </w:style>
  <w:style w:type="paragraph" w:styleId="Citadestacada">
    <w:name w:val="Intense Quote"/>
    <w:basedOn w:val="Normal"/>
    <w:next w:val="Normal"/>
    <w:link w:val="CitadestacadaCar"/>
    <w:uiPriority w:val="30"/>
    <w:qFormat/>
    <w:rsid w:val="00970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0F14"/>
    <w:rPr>
      <w:i/>
      <w:iCs/>
      <w:color w:val="0F4761" w:themeColor="accent1" w:themeShade="BF"/>
    </w:rPr>
  </w:style>
  <w:style w:type="character" w:styleId="Referenciaintensa">
    <w:name w:val="Intense Reference"/>
    <w:basedOn w:val="Fuentedeprrafopredeter"/>
    <w:uiPriority w:val="32"/>
    <w:qFormat/>
    <w:rsid w:val="00970F14"/>
    <w:rPr>
      <w:b/>
      <w:bCs/>
      <w:smallCaps/>
      <w:color w:val="0F4761" w:themeColor="accent1" w:themeShade="BF"/>
      <w:spacing w:val="5"/>
    </w:rPr>
  </w:style>
  <w:style w:type="paragraph" w:styleId="NormalWeb">
    <w:name w:val="Normal (Web)"/>
    <w:basedOn w:val="Normal"/>
    <w:uiPriority w:val="99"/>
    <w:unhideWhenUsed/>
    <w:rsid w:val="00970F14"/>
    <w:rPr>
      <w:rFonts w:ascii="Times New Roman" w:hAnsi="Times New Roman" w:cs="Times New Roman"/>
    </w:rPr>
  </w:style>
  <w:style w:type="character" w:styleId="Refdecomentario">
    <w:name w:val="annotation reference"/>
    <w:basedOn w:val="Fuentedeprrafopredeter"/>
    <w:uiPriority w:val="99"/>
    <w:semiHidden/>
    <w:unhideWhenUsed/>
    <w:rsid w:val="00C15442"/>
    <w:rPr>
      <w:sz w:val="16"/>
      <w:szCs w:val="16"/>
    </w:rPr>
  </w:style>
  <w:style w:type="paragraph" w:styleId="Textocomentario">
    <w:name w:val="annotation text"/>
    <w:basedOn w:val="Normal"/>
    <w:link w:val="TextocomentarioCar"/>
    <w:uiPriority w:val="99"/>
    <w:unhideWhenUsed/>
    <w:rsid w:val="00C15442"/>
    <w:pPr>
      <w:spacing w:line="240" w:lineRule="auto"/>
    </w:pPr>
    <w:rPr>
      <w:sz w:val="20"/>
      <w:szCs w:val="20"/>
    </w:rPr>
  </w:style>
  <w:style w:type="character" w:customStyle="1" w:styleId="TextocomentarioCar">
    <w:name w:val="Texto comentario Car"/>
    <w:basedOn w:val="Fuentedeprrafopredeter"/>
    <w:link w:val="Textocomentario"/>
    <w:uiPriority w:val="99"/>
    <w:rsid w:val="00C15442"/>
    <w:rPr>
      <w:sz w:val="20"/>
      <w:szCs w:val="20"/>
    </w:rPr>
  </w:style>
  <w:style w:type="paragraph" w:styleId="Asuntodelcomentario">
    <w:name w:val="annotation subject"/>
    <w:basedOn w:val="Textocomentario"/>
    <w:next w:val="Textocomentario"/>
    <w:link w:val="AsuntodelcomentarioCar"/>
    <w:uiPriority w:val="99"/>
    <w:semiHidden/>
    <w:unhideWhenUsed/>
    <w:rsid w:val="00C15442"/>
    <w:rPr>
      <w:b/>
      <w:bCs/>
    </w:rPr>
  </w:style>
  <w:style w:type="character" w:customStyle="1" w:styleId="AsuntodelcomentarioCar">
    <w:name w:val="Asunto del comentario Car"/>
    <w:basedOn w:val="TextocomentarioCar"/>
    <w:link w:val="Asuntodelcomentario"/>
    <w:uiPriority w:val="99"/>
    <w:semiHidden/>
    <w:rsid w:val="00C15442"/>
    <w:rPr>
      <w:b/>
      <w:bCs/>
      <w:sz w:val="20"/>
      <w:szCs w:val="20"/>
    </w:rPr>
  </w:style>
  <w:style w:type="character" w:styleId="Hipervnculo">
    <w:name w:val="Hyperlink"/>
    <w:basedOn w:val="Fuentedeprrafopredeter"/>
    <w:uiPriority w:val="99"/>
    <w:rsid w:val="00C15442"/>
    <w:rPr>
      <w:rFonts w:cs="Times New Roman"/>
      <w:color w:val="0000FF"/>
      <w:u w:val="single"/>
    </w:rPr>
  </w:style>
  <w:style w:type="character" w:styleId="Mencinsinresolver">
    <w:name w:val="Unresolved Mention"/>
    <w:basedOn w:val="Fuentedeprrafopredeter"/>
    <w:uiPriority w:val="99"/>
    <w:semiHidden/>
    <w:unhideWhenUsed/>
    <w:rsid w:val="00C15442"/>
    <w:rPr>
      <w:color w:val="605E5C"/>
      <w:shd w:val="clear" w:color="auto" w:fill="E1DFDD"/>
    </w:rPr>
  </w:style>
  <w:style w:type="paragraph" w:styleId="Revisin">
    <w:name w:val="Revision"/>
    <w:hidden/>
    <w:uiPriority w:val="99"/>
    <w:semiHidden/>
    <w:rsid w:val="002309CF"/>
    <w:pPr>
      <w:spacing w:after="0" w:line="240" w:lineRule="auto"/>
    </w:pPr>
  </w:style>
  <w:style w:type="paragraph" w:styleId="Encabezado">
    <w:name w:val="header"/>
    <w:basedOn w:val="Normal"/>
    <w:link w:val="EncabezadoCar"/>
    <w:uiPriority w:val="99"/>
    <w:unhideWhenUsed/>
    <w:rsid w:val="002F0F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0F5B"/>
  </w:style>
  <w:style w:type="paragraph" w:styleId="Piedepgina">
    <w:name w:val="footer"/>
    <w:basedOn w:val="Normal"/>
    <w:link w:val="PiedepginaCar"/>
    <w:uiPriority w:val="99"/>
    <w:unhideWhenUsed/>
    <w:rsid w:val="002F0F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5803">
      <w:bodyDiv w:val="1"/>
      <w:marLeft w:val="0"/>
      <w:marRight w:val="0"/>
      <w:marTop w:val="0"/>
      <w:marBottom w:val="0"/>
      <w:divBdr>
        <w:top w:val="none" w:sz="0" w:space="0" w:color="auto"/>
        <w:left w:val="none" w:sz="0" w:space="0" w:color="auto"/>
        <w:bottom w:val="none" w:sz="0" w:space="0" w:color="auto"/>
        <w:right w:val="none" w:sz="0" w:space="0" w:color="auto"/>
      </w:divBdr>
    </w:div>
    <w:div w:id="223490734">
      <w:bodyDiv w:val="1"/>
      <w:marLeft w:val="0"/>
      <w:marRight w:val="0"/>
      <w:marTop w:val="0"/>
      <w:marBottom w:val="0"/>
      <w:divBdr>
        <w:top w:val="none" w:sz="0" w:space="0" w:color="auto"/>
        <w:left w:val="none" w:sz="0" w:space="0" w:color="auto"/>
        <w:bottom w:val="none" w:sz="0" w:space="0" w:color="auto"/>
        <w:right w:val="none" w:sz="0" w:space="0" w:color="auto"/>
      </w:divBdr>
    </w:div>
    <w:div w:id="224223057">
      <w:bodyDiv w:val="1"/>
      <w:marLeft w:val="0"/>
      <w:marRight w:val="0"/>
      <w:marTop w:val="0"/>
      <w:marBottom w:val="0"/>
      <w:divBdr>
        <w:top w:val="none" w:sz="0" w:space="0" w:color="auto"/>
        <w:left w:val="none" w:sz="0" w:space="0" w:color="auto"/>
        <w:bottom w:val="none" w:sz="0" w:space="0" w:color="auto"/>
        <w:right w:val="none" w:sz="0" w:space="0" w:color="auto"/>
      </w:divBdr>
      <w:divsChild>
        <w:div w:id="1303775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967522">
      <w:bodyDiv w:val="1"/>
      <w:marLeft w:val="0"/>
      <w:marRight w:val="0"/>
      <w:marTop w:val="0"/>
      <w:marBottom w:val="0"/>
      <w:divBdr>
        <w:top w:val="none" w:sz="0" w:space="0" w:color="auto"/>
        <w:left w:val="none" w:sz="0" w:space="0" w:color="auto"/>
        <w:bottom w:val="none" w:sz="0" w:space="0" w:color="auto"/>
        <w:right w:val="none" w:sz="0" w:space="0" w:color="auto"/>
      </w:divBdr>
    </w:div>
    <w:div w:id="486166641">
      <w:bodyDiv w:val="1"/>
      <w:marLeft w:val="0"/>
      <w:marRight w:val="0"/>
      <w:marTop w:val="0"/>
      <w:marBottom w:val="0"/>
      <w:divBdr>
        <w:top w:val="none" w:sz="0" w:space="0" w:color="auto"/>
        <w:left w:val="none" w:sz="0" w:space="0" w:color="auto"/>
        <w:bottom w:val="none" w:sz="0" w:space="0" w:color="auto"/>
        <w:right w:val="none" w:sz="0" w:space="0" w:color="auto"/>
      </w:divBdr>
    </w:div>
    <w:div w:id="517624899">
      <w:bodyDiv w:val="1"/>
      <w:marLeft w:val="0"/>
      <w:marRight w:val="0"/>
      <w:marTop w:val="0"/>
      <w:marBottom w:val="0"/>
      <w:divBdr>
        <w:top w:val="none" w:sz="0" w:space="0" w:color="auto"/>
        <w:left w:val="none" w:sz="0" w:space="0" w:color="auto"/>
        <w:bottom w:val="none" w:sz="0" w:space="0" w:color="auto"/>
        <w:right w:val="none" w:sz="0" w:space="0" w:color="auto"/>
      </w:divBdr>
    </w:div>
    <w:div w:id="1057897155">
      <w:bodyDiv w:val="1"/>
      <w:marLeft w:val="0"/>
      <w:marRight w:val="0"/>
      <w:marTop w:val="0"/>
      <w:marBottom w:val="0"/>
      <w:divBdr>
        <w:top w:val="none" w:sz="0" w:space="0" w:color="auto"/>
        <w:left w:val="none" w:sz="0" w:space="0" w:color="auto"/>
        <w:bottom w:val="none" w:sz="0" w:space="0" w:color="auto"/>
        <w:right w:val="none" w:sz="0" w:space="0" w:color="auto"/>
      </w:divBdr>
    </w:div>
    <w:div w:id="1214729612">
      <w:bodyDiv w:val="1"/>
      <w:marLeft w:val="0"/>
      <w:marRight w:val="0"/>
      <w:marTop w:val="0"/>
      <w:marBottom w:val="0"/>
      <w:divBdr>
        <w:top w:val="none" w:sz="0" w:space="0" w:color="auto"/>
        <w:left w:val="none" w:sz="0" w:space="0" w:color="auto"/>
        <w:bottom w:val="none" w:sz="0" w:space="0" w:color="auto"/>
        <w:right w:val="none" w:sz="0" w:space="0" w:color="auto"/>
      </w:divBdr>
    </w:div>
    <w:div w:id="1239360933">
      <w:bodyDiv w:val="1"/>
      <w:marLeft w:val="0"/>
      <w:marRight w:val="0"/>
      <w:marTop w:val="0"/>
      <w:marBottom w:val="0"/>
      <w:divBdr>
        <w:top w:val="none" w:sz="0" w:space="0" w:color="auto"/>
        <w:left w:val="none" w:sz="0" w:space="0" w:color="auto"/>
        <w:bottom w:val="none" w:sz="0" w:space="0" w:color="auto"/>
        <w:right w:val="none" w:sz="0" w:space="0" w:color="auto"/>
      </w:divBdr>
    </w:div>
    <w:div w:id="1561020605">
      <w:bodyDiv w:val="1"/>
      <w:marLeft w:val="0"/>
      <w:marRight w:val="0"/>
      <w:marTop w:val="0"/>
      <w:marBottom w:val="0"/>
      <w:divBdr>
        <w:top w:val="none" w:sz="0" w:space="0" w:color="auto"/>
        <w:left w:val="none" w:sz="0" w:space="0" w:color="auto"/>
        <w:bottom w:val="none" w:sz="0" w:space="0" w:color="auto"/>
        <w:right w:val="none" w:sz="0" w:space="0" w:color="auto"/>
      </w:divBdr>
    </w:div>
    <w:div w:id="1626040758">
      <w:bodyDiv w:val="1"/>
      <w:marLeft w:val="0"/>
      <w:marRight w:val="0"/>
      <w:marTop w:val="0"/>
      <w:marBottom w:val="0"/>
      <w:divBdr>
        <w:top w:val="none" w:sz="0" w:space="0" w:color="auto"/>
        <w:left w:val="none" w:sz="0" w:space="0" w:color="auto"/>
        <w:bottom w:val="none" w:sz="0" w:space="0" w:color="auto"/>
        <w:right w:val="none" w:sz="0" w:space="0" w:color="auto"/>
      </w:divBdr>
    </w:div>
    <w:div w:id="1736661884">
      <w:bodyDiv w:val="1"/>
      <w:marLeft w:val="0"/>
      <w:marRight w:val="0"/>
      <w:marTop w:val="0"/>
      <w:marBottom w:val="0"/>
      <w:divBdr>
        <w:top w:val="none" w:sz="0" w:space="0" w:color="auto"/>
        <w:left w:val="none" w:sz="0" w:space="0" w:color="auto"/>
        <w:bottom w:val="none" w:sz="0" w:space="0" w:color="auto"/>
        <w:right w:val="none" w:sz="0" w:space="0" w:color="auto"/>
      </w:divBdr>
    </w:div>
    <w:div w:id="1806701715">
      <w:bodyDiv w:val="1"/>
      <w:marLeft w:val="0"/>
      <w:marRight w:val="0"/>
      <w:marTop w:val="0"/>
      <w:marBottom w:val="0"/>
      <w:divBdr>
        <w:top w:val="none" w:sz="0" w:space="0" w:color="auto"/>
        <w:left w:val="none" w:sz="0" w:space="0" w:color="auto"/>
        <w:bottom w:val="none" w:sz="0" w:space="0" w:color="auto"/>
        <w:right w:val="none" w:sz="0" w:space="0" w:color="auto"/>
      </w:divBdr>
      <w:divsChild>
        <w:div w:id="203444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5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la.diaz@manpowergroup.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icacion.manpowergroup@hava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group.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an.gomez@manpowergroup.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59D75210B3AB47BDB1DAE6E2AD3455" ma:contentTypeVersion="12" ma:contentTypeDescription="Crear nuevo documento." ma:contentTypeScope="" ma:versionID="3b6a0df731f9b291626601c022487cbc">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87956ab23a915a09f5a92d2275241f1c"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F3A1-E5EF-4EBB-9DCE-0E9351819FBC}">
  <ds:schemaRefs>
    <ds:schemaRef ds:uri="http://schemas.microsoft.com/office/2006/metadata/properties"/>
    <ds:schemaRef ds:uri="http://schemas.microsoft.com/office/infopath/2007/PartnerControls"/>
    <ds:schemaRef ds:uri="df231d71-97c5-42ff-aba6-a7b30cc7d16d"/>
    <ds:schemaRef ds:uri="f17ce223-d96d-4429-9827-08a58a24d6e0"/>
  </ds:schemaRefs>
</ds:datastoreItem>
</file>

<file path=customXml/itemProps2.xml><?xml version="1.0" encoding="utf-8"?>
<ds:datastoreItem xmlns:ds="http://schemas.openxmlformats.org/officeDocument/2006/customXml" ds:itemID="{0479EC1C-5E95-43C2-8FBA-630377F11DF8}">
  <ds:schemaRefs>
    <ds:schemaRef ds:uri="http://schemas.microsoft.com/sharepoint/v3/contenttype/forms"/>
  </ds:schemaRefs>
</ds:datastoreItem>
</file>

<file path=customXml/itemProps3.xml><?xml version="1.0" encoding="utf-8"?>
<ds:datastoreItem xmlns:ds="http://schemas.openxmlformats.org/officeDocument/2006/customXml" ds:itemID="{5C11D99A-B932-438E-AA64-42DE1A54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99177-82E9-4558-93CF-CDE97B12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Castillo-ext</dc:creator>
  <cp:keywords/>
  <dc:description/>
  <cp:lastModifiedBy>Paula Castillo-ext</cp:lastModifiedBy>
  <cp:revision>3</cp:revision>
  <dcterms:created xsi:type="dcterms:W3CDTF">2025-09-04T10:19:00Z</dcterms:created>
  <dcterms:modified xsi:type="dcterms:W3CDTF">2025-09-04T10:20:00Z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ies>
</file>